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85pt;margin-top:894pt;mso-position-horizontal-relative:page;mso-position-vertical-relative:top-margin-area;position:absolute;width:28pt;z-index:251658240">
            <v:imagedata r:id="rId5" o:title=""/>
          </v:shape>
        </w:pict>
      </w:r>
      <w:r>
        <w:rPr>
          <w:rFonts w:hint="eastAsia"/>
          <w:b/>
          <w:bCs/>
          <w:sz w:val="24"/>
          <w:szCs w:val="24"/>
          <w:lang w:val="en-US" w:eastAsia="zh-CN"/>
        </w:rPr>
        <w:t>平川中恒学校2018-2019学年（</w:t>
      </w:r>
      <w:r>
        <w:rPr>
          <w:rFonts w:ascii="宋体" w:eastAsia="宋体" w:hAnsi="宋体" w:cs="宋体" w:hint="eastAsia"/>
          <w:b/>
          <w:bCs/>
          <w:sz w:val="24"/>
          <w:szCs w:val="24"/>
          <w:lang w:val="en-US" w:eastAsia="zh-CN"/>
        </w:rPr>
        <w:t>Ⅱ</w:t>
      </w:r>
      <w:r>
        <w:rPr>
          <w:rFonts w:hint="eastAsia"/>
          <w:b/>
          <w:bCs/>
          <w:sz w:val="24"/>
          <w:szCs w:val="24"/>
          <w:lang w:val="en-US" w:eastAsia="zh-CN"/>
        </w:rPr>
        <w:t>）高一第二次月考</w:t>
      </w:r>
    </w:p>
    <w:p>
      <w:pPr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政治试题答案</w:t>
      </w:r>
    </w:p>
    <w:p>
      <w:pPr>
        <w:spacing w:line="360" w:lineRule="auto"/>
        <w:jc w:val="left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一：选择题（每题只有一个正确选项，每题</w:t>
      </w:r>
      <w:r>
        <w:rPr>
          <w:rFonts w:hint="eastAsia"/>
          <w:b/>
          <w:bCs/>
          <w:sz w:val="24"/>
          <w:szCs w:val="24"/>
          <w:lang w:val="en-US" w:eastAsia="zh-CN"/>
        </w:rPr>
        <w:t>2分，共50分</w:t>
      </w:r>
      <w:r>
        <w:rPr>
          <w:rFonts w:hint="eastAsia"/>
          <w:b/>
          <w:bCs/>
          <w:sz w:val="24"/>
          <w:szCs w:val="24"/>
          <w:lang w:eastAsia="zh-CN"/>
        </w:rPr>
        <w:t>）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ADBCC   BBDAC  DDBBD  BCDBC  CBABB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二：非选择题（共</w:t>
      </w:r>
      <w:r>
        <w:rPr>
          <w:rFonts w:hint="eastAsia"/>
          <w:b/>
          <w:bCs/>
          <w:sz w:val="24"/>
          <w:szCs w:val="24"/>
          <w:lang w:val="en-US" w:eastAsia="zh-CN"/>
        </w:rPr>
        <w:t>50分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hint="eastAsia"/>
          <w:color w:val="000000"/>
          <w:sz w:val="21"/>
          <w:szCs w:val="21"/>
          <w:lang w:val="en-US" w:eastAsia="zh-CN"/>
        </w:rPr>
        <w:t>26.</w:t>
      </w:r>
      <w:r>
        <w:rPr>
          <w:rFonts w:ascii="宋体" w:hAnsi="宋体" w:hint="eastAsia"/>
          <w:color w:val="000000"/>
          <w:sz w:val="21"/>
          <w:szCs w:val="21"/>
        </w:rPr>
        <w:t>【答案】</w:t>
      </w:r>
      <w:r>
        <w:rPr>
          <w:rFonts w:ascii="宋体" w:hAnsi="宋体" w:cs="宋体"/>
          <w:color w:val="000000"/>
          <w:sz w:val="21"/>
          <w:szCs w:val="21"/>
        </w:rPr>
        <w:t>（1）①公民要坚持权利与义务的统一，既要依法行使交流思想、表达意愿的权利，又要自觉履行公民义务，构建良好的网络秩序。</w:t>
      </w:r>
    </w:p>
    <w:p>
      <w:pPr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 xml:space="preserve">②公民要把个人利益与国家利益结合起来，既要通过网络依法维护自身的合法权益，又要维护国家主权、安全、发展利益。 </w:t>
      </w:r>
    </w:p>
    <w:p>
      <w:p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ascii="宋体" w:hAnsi="宋体" w:cs="宋体"/>
          <w:color w:val="000000"/>
          <w:sz w:val="21"/>
          <w:szCs w:val="21"/>
        </w:rPr>
        <w:t>③公民应遵守法律和道德，规范自己的网络行为，抵制网络违法行为。</w:t>
      </w:r>
      <w:r>
        <w:rPr>
          <w:rFonts w:hint="eastAsia"/>
          <w:sz w:val="21"/>
          <w:szCs w:val="21"/>
          <w:lang w:val="en-US"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每点3分，共9分）</w:t>
      </w:r>
    </w:p>
    <w:p>
      <w:pPr>
        <w:rPr>
          <w:rFonts w:hint="eastAsia"/>
          <w:b/>
          <w:bCs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①公民遵循宪法和法律的规定，有序参与，积极投入到生态文明建设中去。</w:t>
      </w:r>
    </w:p>
    <w:p>
      <w:pPr>
        <w:numPr>
          <w:ilvl w:val="0"/>
          <w:numId w:val="0"/>
        </w:numPr>
        <w:rPr>
          <w:rFonts w:ascii="宋体" w:hAnsi="宋体"/>
          <w:color w:val="000000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②积极参与民主决策，树立生态公民意识，积极建言献策，推进政府制定环境政策法规的科学化、民主化。</w:t>
      </w:r>
    </w:p>
    <w:p>
      <w:pPr>
        <w:rPr>
          <w:rFonts w:ascii="Helvetica" w:eastAsia="Helvetica" w:hAnsi="Helvetica" w:cs="Helvetica" w:hint="default"/>
          <w:b w:val="0"/>
          <w:i w:val="0"/>
          <w:caps w:val="0"/>
          <w:color w:val="3E3E3E"/>
          <w:spacing w:val="8"/>
          <w:sz w:val="21"/>
          <w:szCs w:val="21"/>
        </w:rPr>
      </w:pPr>
      <w:r>
        <w:rPr>
          <w:rFonts w:ascii="宋体" w:hAnsi="宋体" w:cs="宋体"/>
          <w:color w:val="000000"/>
          <w:sz w:val="21"/>
          <w:szCs w:val="21"/>
        </w:rPr>
        <w:t>③积极参与民主监督，依法行使监督权。对生态文明建设中的环境违法行为进行监督和举报，敢于同破坏生态文明的行为作斗争，维护国家和公民的权益。</w:t>
      </w:r>
      <w:r>
        <w:rPr>
          <w:rFonts w:hint="eastAsia"/>
          <w:sz w:val="21"/>
          <w:szCs w:val="21"/>
          <w:lang w:val="en-US"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每点2分，共6分）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rPr>
          <w:rFonts w:ascii="宋体" w:eastAsia="宋体" w:hAnsi="宋体" w:cs="宋体" w:hint="eastAsi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①履行保障人民民主和维护国家长治久安、组织社会主义经济建设的职能，加强市场监管，贯彻最严谨的标准，违法必究，坚决打击违法违规生产经营行为。②深化行政管理体制改革，创新行政管理模式，优化管理结构，明晰权责。③坚持为人民服务的宗旨，对人民负责，贯彻“四个最严”的要求，维护保健品市场秩序。④坚持依法行政，法无授权不可为，法定职责必须为。健全和完善问责制度，明晰相关部门审批、监督和处罚职责。⑤政府应自觉接受监督，履职尽责，真正做到权为民所用。⑥坚持民主集中制原则。地方政府要听从上级政府的号召，反对地方保护主义。</w:t>
      </w:r>
    </w:p>
    <w:p>
      <w:pPr>
        <w:numPr>
          <w:numId w:val="0"/>
        </w:numPr>
        <w:ind w:firstLine="210" w:firstLineChars="10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（</w:t>
      </w:r>
      <w:r>
        <w:rPr>
          <w:rFonts w:hint="eastAsia"/>
          <w:b/>
          <w:bCs/>
          <w:sz w:val="21"/>
          <w:szCs w:val="21"/>
          <w:lang w:val="en-US" w:eastAsia="zh-CN"/>
        </w:rPr>
        <w:t>答出五点就行，每点4分，共20分）</w:t>
      </w:r>
    </w:p>
    <w:p>
      <w:pPr>
        <w:numPr>
          <w:numId w:val="0"/>
        </w:numPr>
        <w:ind w:firstLine="210" w:firstLineChars="100"/>
        <w:rPr>
          <w:rFonts w:hint="default"/>
          <w:b/>
          <w:bCs/>
          <w:sz w:val="21"/>
          <w:szCs w:val="21"/>
          <w:lang w:val="en-US" w:eastAsia="zh-CN"/>
        </w:rPr>
      </w:pP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  <w:lang w:val="en-US" w:eastAsia="zh-CN"/>
        </w:rPr>
        <w:t>28</w:t>
      </w:r>
      <w:r>
        <w:rPr>
          <w:rFonts w:ascii="宋体" w:eastAsia="宋体" w:hAnsi="宋体" w:cs="宋体" w:hint="eastAsia"/>
          <w:b w:val="0"/>
          <w:i w:val="0"/>
          <w:caps w:val="0"/>
          <w:color w:val="000000"/>
          <w:spacing w:val="8"/>
          <w:sz w:val="21"/>
          <w:szCs w:val="21"/>
          <w:shd w:val="clear" w:color="auto" w:fill="FFFFFF"/>
        </w:rPr>
        <w:t>．①中国共产党始终是中国特色社会主义事业的领导核心，坚持人民立场人民情怀能够为社会主义现代化建设创造稳定、和谐的社会环境，最广泛、最充分调动一切积极因素，实现全面建成小康社会的目标。②坚持人民立场、人民情怀是中国共产党以人为本、执政为民的具体体现。③坚持人民立场、人民情怀是由党的性质来决定的，中国共产党是中国工人阶级的先锋队，同时是中国人民和中华民族的先锋队，中国共产党的性质决定了她代表人民的根本利益。④党的宗旨是全心全意为人民服务，党的一切工作都是为了造福人民看，始终把实现好、维护好、发展好最广的人民的根本利益作为一切工作的出发点和落脚点，做到发展为了人民，发展依靠人民，发展的成果由人民共享。</w:t>
      </w:r>
      <w:r>
        <w:rPr>
          <w:rFonts w:hint="eastAsia"/>
          <w:sz w:val="24"/>
          <w:szCs w:val="24"/>
          <w:lang w:val="en-US" w:eastAsia="zh-CN"/>
        </w:rPr>
        <w:t>（</w:t>
      </w:r>
      <w:r>
        <w:rPr>
          <w:rFonts w:hint="eastAsia"/>
          <w:b/>
          <w:bCs/>
          <w:sz w:val="24"/>
          <w:szCs w:val="24"/>
          <w:lang w:val="en-US" w:eastAsia="zh-CN"/>
        </w:rPr>
        <w:t>每点4分，共15分）</w:t>
      </w:r>
    </w:p>
    <w:p>
      <w:pPr>
        <w:pStyle w:val="NormalWeb"/>
        <w:keepNext w:val="0"/>
        <w:keepLines w:val="0"/>
        <w:widowControl/>
        <w:suppressLineNumbers w:val="0"/>
        <w:pBdr>
          <w:top w:val="nil"/>
          <w:left w:val="nil"/>
          <w:bottom w:val="nil"/>
          <w:right w:val="nil"/>
        </w:pBdr>
        <w:shd w:val="clear" w:color="auto" w:fill="FFFFFF"/>
        <w:spacing w:before="75" w:beforeAutospacing="0" w:after="75" w:afterAutospacing="0" w:line="360" w:lineRule="atLeast"/>
        <w:ind w:right="0"/>
        <w:jc w:val="left"/>
        <w:textAlignment w:val="center"/>
        <w:rPr>
          <w:rFonts w:ascii="Helvetica" w:eastAsia="Helvetica" w:hAnsi="Helvetica" w:cs="Helvetica" w:hint="default"/>
          <w:b w:val="0"/>
          <w:i w:val="0"/>
          <w:caps w:val="0"/>
          <w:color w:val="3E3E3E"/>
          <w:spacing w:val="8"/>
          <w:sz w:val="24"/>
          <w:szCs w:val="2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AC90ECF"/>
    <w:multiLevelType w:val="singleLevel"/>
    <w:tmpl w:val="CAC90ECF"/>
    <w:lvl w:ilvl="0">
      <w:start w:val="27"/>
      <w:numFmt w:val="decimal"/>
      <w:suff w:val="nothing"/>
      <w:lvlText w:val="%1．"/>
      <w:lvlJc w:val="left"/>
    </w:lvl>
  </w:abstractNum>
  <w:abstractNum w:abstractNumId="1">
    <w:nsid w:val="0DBBDE87"/>
    <w:multiLevelType w:val="singleLevel"/>
    <w:tmpl w:val="0DBBDE87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2019-04-26T11:24:55Z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