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264" w:lineRule="auto"/>
        <w:jc w:val="center"/>
        <w:rPr>
          <w:rFonts w:ascii="宋体" w:hAnsi="宋体" w:cs="宋体"/>
          <w:b/>
          <w:bCs/>
          <w:color w:val="000000"/>
          <w:kern w:val="0"/>
          <w:sz w:val="30"/>
          <w:szCs w:val="30"/>
        </w:rPr>
      </w:pPr>
      <w:r>
        <w:rPr>
          <w:rFonts w:ascii="宋体" w:hAnsi="宋体" w:cs="宋体"/>
          <w:b/>
          <w:bCs/>
          <w:color w:val="000000"/>
          <w:kern w:val="0"/>
          <w:sz w:val="30"/>
          <w:szCs w:val="30"/>
        </w:rPr>
        <w:pict>
          <v:shape id="_x0000_s1025" o:spid="_x0000_s1025" o:spt="75" type="#_x0000_t75" style="position:absolute;left:0pt;margin-left:941pt;margin-top:965pt;height:36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宋体" w:hAnsi="宋体" w:cs="宋体"/>
          <w:b/>
          <w:bCs/>
          <w:color w:val="000000"/>
          <w:kern w:val="0"/>
          <w:sz w:val="30"/>
          <w:szCs w:val="30"/>
        </w:rPr>
        <w:t>2018—2019</w:t>
      </w:r>
      <w:r>
        <w:rPr>
          <w:rFonts w:hint="eastAsia" w:ascii="宋体" w:hAnsi="宋体" w:cs="宋体"/>
          <w:b/>
          <w:bCs/>
          <w:color w:val="000000"/>
          <w:kern w:val="0"/>
          <w:sz w:val="30"/>
          <w:szCs w:val="30"/>
        </w:rPr>
        <w:t>学年第一</w:t>
      </w:r>
      <w:r>
        <w:rPr>
          <w:rFonts w:ascii="宋体" w:hAnsi="宋体" w:cs="宋体"/>
          <w:b/>
          <w:bCs/>
          <w:color w:val="000000"/>
          <w:kern w:val="0"/>
          <w:sz w:val="30"/>
          <w:szCs w:val="30"/>
        </w:rPr>
        <w:t>学期</w:t>
      </w:r>
      <w:r>
        <w:rPr>
          <w:rFonts w:hint="eastAsia" w:ascii="宋体" w:hAnsi="宋体" w:cs="宋体"/>
          <w:b/>
          <w:bCs/>
          <w:color w:val="000000"/>
          <w:kern w:val="0"/>
          <w:sz w:val="30"/>
          <w:szCs w:val="30"/>
        </w:rPr>
        <w:t>高一学段三考试</w:t>
      </w:r>
    </w:p>
    <w:p>
      <w:pPr>
        <w:widowControl/>
        <w:snapToGrid w:val="0"/>
        <w:spacing w:line="264" w:lineRule="auto"/>
        <w:jc w:val="center"/>
        <w:rPr>
          <w:rFonts w:ascii="宋体" w:hAnsi="宋体" w:cs="宋体"/>
          <w:b/>
          <w:bCs/>
          <w:color w:val="000000"/>
          <w:kern w:val="0"/>
          <w:sz w:val="30"/>
          <w:szCs w:val="30"/>
        </w:rPr>
      </w:pPr>
      <w:r>
        <w:rPr>
          <w:rFonts w:hint="eastAsia" w:ascii="宋体" w:hAnsi="宋体" w:cs="宋体"/>
          <w:b/>
          <w:bCs/>
          <w:color w:val="000000"/>
          <w:kern w:val="0"/>
          <w:sz w:val="30"/>
          <w:szCs w:val="30"/>
        </w:rPr>
        <w:t>政 治</w:t>
      </w:r>
    </w:p>
    <w:p>
      <w:pPr>
        <w:adjustRightInd w:val="0"/>
        <w:snapToGrid w:val="0"/>
        <w:spacing w:line="360" w:lineRule="auto"/>
        <w:rPr>
          <w:sz w:val="24"/>
        </w:rPr>
      </w:pPr>
      <w:r>
        <w:rPr>
          <w:rFonts w:hint="eastAsia"/>
          <w:sz w:val="24"/>
        </w:rPr>
        <w:t>一、单项选择题(本大题共30个小题，每小题2分，共60分。在每小题给出的四个选项中，只有一项是符合题目要求的) </w:t>
      </w:r>
    </w:p>
    <w:p>
      <w:pPr>
        <w:adjustRightInd w:val="0"/>
        <w:snapToGrid w:val="0"/>
        <w:spacing w:line="360" w:lineRule="auto"/>
        <w:rPr>
          <w:rFonts w:ascii="宋体" w:hAnsi="宋体"/>
          <w:szCs w:val="21"/>
        </w:rPr>
      </w:pPr>
      <w:r>
        <w:rPr>
          <w:rFonts w:hint="eastAsia" w:ascii="宋体" w:hAnsi="宋体"/>
          <w:szCs w:val="21"/>
        </w:rPr>
        <w:t>1.“夫珠玉金银，饥不可食，寒不可衣”，但人们还是喜欢金银。这表明金银作为货币：(    ) 　</w:t>
      </w:r>
    </w:p>
    <w:p>
      <w:pPr>
        <w:adjustRightInd w:val="0"/>
        <w:snapToGrid w:val="0"/>
        <w:spacing w:line="360" w:lineRule="auto"/>
        <w:rPr>
          <w:rFonts w:ascii="宋体" w:hAnsi="宋体"/>
          <w:szCs w:val="21"/>
        </w:rPr>
      </w:pPr>
      <w:r>
        <w:rPr>
          <w:rFonts w:hint="eastAsia" w:ascii="宋体" w:hAnsi="宋体"/>
          <w:szCs w:val="21"/>
        </w:rPr>
        <w:t>A．从起源看，是和商品同时产生的         　　B．从作用看，是财富的唯一象征　　</w:t>
      </w:r>
    </w:p>
    <w:p>
      <w:pPr>
        <w:adjustRightInd w:val="0"/>
        <w:snapToGrid w:val="0"/>
        <w:spacing w:line="360" w:lineRule="auto"/>
        <w:rPr>
          <w:rFonts w:ascii="宋体" w:hAnsi="宋体"/>
          <w:szCs w:val="21"/>
        </w:rPr>
      </w:pPr>
      <w:r>
        <w:rPr>
          <w:rFonts w:hint="eastAsia" w:ascii="宋体" w:hAnsi="宋体"/>
          <w:szCs w:val="21"/>
        </w:rPr>
        <w:t>C．从本质看，是固定充当一般等价物的商品　　</w:t>
      </w:r>
    </w:p>
    <w:p>
      <w:pPr>
        <w:adjustRightInd w:val="0"/>
        <w:snapToGrid w:val="0"/>
        <w:spacing w:line="360" w:lineRule="auto"/>
        <w:rPr>
          <w:rFonts w:ascii="宋体" w:hAnsi="宋体"/>
          <w:szCs w:val="21"/>
        </w:rPr>
      </w:pPr>
      <w:r>
        <w:rPr>
          <w:rFonts w:hint="eastAsia" w:ascii="宋体" w:hAnsi="宋体"/>
          <w:szCs w:val="21"/>
        </w:rPr>
        <w:t>D．从职能看，具有价值尺度、贮藏手段两种基本职能　　</w:t>
      </w:r>
    </w:p>
    <w:p>
      <w:pPr>
        <w:adjustRightInd w:val="0"/>
        <w:snapToGrid w:val="0"/>
        <w:spacing w:line="360" w:lineRule="auto"/>
        <w:rPr>
          <w:rFonts w:ascii="宋体" w:hAnsi="宋体"/>
          <w:szCs w:val="21"/>
        </w:rPr>
      </w:pPr>
      <w:r>
        <w:rPr>
          <w:rFonts w:hint="eastAsia" w:ascii="宋体" w:hAnsi="宋体"/>
          <w:szCs w:val="21"/>
        </w:rPr>
        <w:t>2.近年来，网络购物应用呈现迅猛的增长势头。越来越多的中国网民开始青睐网上购物，市场规模不断扩大。</w:t>
      </w:r>
      <w:r>
        <w:rPr>
          <w:rFonts w:hint="eastAsia" w:ascii="宋体" w:hAnsi="宋体"/>
          <w:szCs w:val="21"/>
          <w:shd w:val="clear" w:color="auto" w:fill="FFFFFF"/>
        </w:rPr>
        <w:t>11月12日凌晨，201</w:t>
      </w:r>
      <w:r>
        <w:rPr>
          <w:rFonts w:ascii="宋体" w:hAnsi="宋体"/>
          <w:szCs w:val="21"/>
          <w:shd w:val="clear" w:color="auto" w:fill="FFFFFF"/>
        </w:rPr>
        <w:t>8</w:t>
      </w:r>
      <w:r>
        <w:rPr>
          <w:rFonts w:hint="eastAsia" w:ascii="宋体" w:hAnsi="宋体"/>
          <w:szCs w:val="21"/>
          <w:shd w:val="clear" w:color="auto" w:fill="FFFFFF"/>
        </w:rPr>
        <w:t>年“双十一”全球狂欢节正式落下帷幕，天猫最终交易额也达到了创纪录的</w:t>
      </w:r>
      <w:r>
        <w:rPr>
          <w:rFonts w:ascii="Arial" w:hAnsi="Arial" w:cs="Arial"/>
          <w:color w:val="191919"/>
          <w:shd w:val="clear" w:color="auto" w:fill="FFFFFF"/>
        </w:rPr>
        <w:t>2135</w:t>
      </w:r>
      <w:r>
        <w:rPr>
          <w:rFonts w:hint="eastAsia" w:ascii="宋体" w:hAnsi="宋体"/>
          <w:szCs w:val="21"/>
          <w:shd w:val="clear" w:color="auto" w:fill="FFFFFF"/>
        </w:rPr>
        <w:t>亿元！参与交易国家和地区达到2</w:t>
      </w:r>
      <w:r>
        <w:rPr>
          <w:rFonts w:ascii="宋体" w:hAnsi="宋体"/>
          <w:szCs w:val="21"/>
          <w:shd w:val="clear" w:color="auto" w:fill="FFFFFF"/>
        </w:rPr>
        <w:t>80</w:t>
      </w:r>
      <w:r>
        <w:rPr>
          <w:rFonts w:hint="eastAsia" w:ascii="宋体" w:hAnsi="宋体"/>
          <w:szCs w:val="21"/>
          <w:shd w:val="clear" w:color="auto" w:fill="FFFFFF"/>
        </w:rPr>
        <w:t>个，其中无线交易额为</w:t>
      </w:r>
      <w:r>
        <w:rPr>
          <w:rFonts w:ascii="宋体" w:hAnsi="宋体"/>
          <w:szCs w:val="21"/>
          <w:shd w:val="clear" w:color="auto" w:fill="FFFFFF"/>
        </w:rPr>
        <w:t>1280</w:t>
      </w:r>
      <w:r>
        <w:rPr>
          <w:rFonts w:hint="eastAsia" w:ascii="宋体" w:hAnsi="宋体"/>
          <w:szCs w:val="21"/>
          <w:shd w:val="clear" w:color="auto" w:fill="FFFFFF"/>
        </w:rPr>
        <w:t>多亿元，无线占比6</w:t>
      </w:r>
      <w:r>
        <w:rPr>
          <w:rFonts w:ascii="宋体" w:hAnsi="宋体"/>
          <w:szCs w:val="21"/>
          <w:shd w:val="clear" w:color="auto" w:fill="FFFFFF"/>
        </w:rPr>
        <w:t>0</w:t>
      </w:r>
      <w:r>
        <w:rPr>
          <w:rFonts w:hint="eastAsia" w:ascii="宋体" w:hAnsi="宋体"/>
          <w:szCs w:val="21"/>
          <w:shd w:val="clear" w:color="auto" w:fill="FFFFFF"/>
        </w:rPr>
        <w:t>%！阿里巴巴再次刷新单一电商平台单天交易的世界纪录。</w:t>
      </w:r>
      <w:r>
        <w:rPr>
          <w:rFonts w:hint="eastAsia" w:ascii="宋体" w:hAnsi="宋体"/>
          <w:szCs w:val="21"/>
        </w:rPr>
        <w:t>网上购物：(    )            </w:t>
      </w:r>
    </w:p>
    <w:p>
      <w:pPr>
        <w:adjustRightInd w:val="0"/>
        <w:snapToGrid w:val="0"/>
        <w:spacing w:line="360" w:lineRule="auto"/>
        <w:rPr>
          <w:rFonts w:ascii="宋体" w:hAnsi="宋体"/>
          <w:szCs w:val="21"/>
        </w:rPr>
      </w:pPr>
      <w:r>
        <w:rPr>
          <w:rFonts w:hint="eastAsia" w:ascii="宋体" w:hAnsi="宋体"/>
          <w:szCs w:val="21"/>
        </w:rPr>
        <w:t>①使货币的本质发生了变化           ②没有改变货币本身固有的职能 </w:t>
      </w:r>
    </w:p>
    <w:p>
      <w:pPr>
        <w:adjustRightInd w:val="0"/>
        <w:snapToGrid w:val="0"/>
        <w:spacing w:line="360" w:lineRule="auto"/>
        <w:rPr>
          <w:rFonts w:ascii="宋体" w:hAnsi="宋体"/>
          <w:szCs w:val="21"/>
        </w:rPr>
      </w:pPr>
      <w:r>
        <w:rPr>
          <w:rFonts w:hint="eastAsia" w:ascii="宋体" w:hAnsi="宋体"/>
          <w:szCs w:val="21"/>
        </w:rPr>
        <w:t>③使货币形式虚拟化，不利于经济稳定 ④使得商品交换的方式发生了变化 </w:t>
      </w:r>
    </w:p>
    <w:p>
      <w:pPr>
        <w:adjustRightInd w:val="0"/>
        <w:snapToGrid w:val="0"/>
        <w:spacing w:line="360" w:lineRule="auto"/>
        <w:rPr>
          <w:rFonts w:ascii="宋体" w:hAnsi="宋体"/>
          <w:szCs w:val="21"/>
        </w:rPr>
      </w:pPr>
      <w:r>
        <w:rPr>
          <w:rFonts w:hint="eastAsia" w:ascii="宋体" w:hAnsi="宋体"/>
          <w:szCs w:val="21"/>
        </w:rPr>
        <w:t>A.①②     B.②④      C.③④       D.①④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3.下列措施中，能够从根本上缓解通货膨胀压力的是</w:t>
      </w:r>
      <w:r>
        <w:rPr>
          <w:rFonts w:hint="eastAsia" w:ascii="宋体" w:hAnsi="宋体"/>
          <w:szCs w:val="21"/>
        </w:rPr>
        <w:t>：(    )</w:t>
      </w:r>
      <w:r>
        <w:rPr>
          <w:rFonts w:hint="eastAsia" w:ascii="宋体" w:hAnsi="宋体" w:cs="宋体"/>
          <w:kern w:val="0"/>
          <w:szCs w:val="21"/>
        </w:rPr>
        <w:t>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Ａ．降低银行存贷款利率     Ｂ．发展生产，保障供给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Ｃ．国家多发行纸币         Ｄ．加强市场监管，严厉打击合谋涨价</w:t>
      </w:r>
    </w:p>
    <w:p>
      <w:pPr>
        <w:adjustRightInd w:val="0"/>
        <w:snapToGrid w:val="0"/>
        <w:spacing w:line="360" w:lineRule="auto"/>
        <w:rPr>
          <w:rFonts w:ascii="宋体" w:hAnsi="宋体"/>
          <w:szCs w:val="21"/>
        </w:rPr>
      </w:pPr>
      <w:r>
        <w:rPr>
          <w:rFonts w:hint="eastAsia" w:ascii="宋体" w:hAnsi="宋体"/>
          <w:szCs w:val="21"/>
        </w:rPr>
        <w:t>4.2015年3月6日，美元指数收盘较前一交易日上涨1.4164点；3月9日，人民币对美元汇率较前一交易日又贬值30个基点。美元持续升值将对中国经济产生多方面的影响，其中积极的方面在于 ：(    ) </w:t>
      </w:r>
    </w:p>
    <w:p>
      <w:pPr>
        <w:adjustRightInd w:val="0"/>
        <w:snapToGrid w:val="0"/>
        <w:spacing w:line="360" w:lineRule="auto"/>
        <w:rPr>
          <w:rFonts w:ascii="宋体" w:hAnsi="宋体"/>
          <w:szCs w:val="21"/>
        </w:rPr>
      </w:pPr>
      <w:r>
        <w:rPr>
          <w:rFonts w:hint="eastAsia" w:ascii="宋体" w:hAnsi="宋体"/>
          <w:szCs w:val="21"/>
        </w:rPr>
        <w:t>①扩大中国出口商品的价格优势，增加出口</w:t>
      </w:r>
    </w:p>
    <w:p>
      <w:pPr>
        <w:adjustRightInd w:val="0"/>
        <w:snapToGrid w:val="0"/>
        <w:spacing w:line="360" w:lineRule="auto"/>
        <w:rPr>
          <w:rFonts w:ascii="宋体" w:hAnsi="宋体"/>
          <w:szCs w:val="21"/>
        </w:rPr>
      </w:pPr>
      <w:r>
        <w:rPr>
          <w:rFonts w:hint="eastAsia" w:ascii="宋体" w:hAnsi="宋体"/>
          <w:szCs w:val="21"/>
        </w:rPr>
        <w:t>②提升中国外汇储备的国际购买力 </w:t>
      </w:r>
    </w:p>
    <w:p>
      <w:pPr>
        <w:adjustRightInd w:val="0"/>
        <w:snapToGrid w:val="0"/>
        <w:spacing w:line="360" w:lineRule="auto"/>
        <w:rPr>
          <w:rFonts w:ascii="宋体" w:hAnsi="宋体"/>
          <w:szCs w:val="21"/>
        </w:rPr>
      </w:pPr>
      <w:r>
        <w:rPr>
          <w:rFonts w:hint="eastAsia" w:ascii="宋体" w:hAnsi="宋体"/>
          <w:szCs w:val="21"/>
        </w:rPr>
        <w:t>③抑制中国居民的出境旅游，从而增加国内储蓄</w:t>
      </w:r>
    </w:p>
    <w:p>
      <w:pPr>
        <w:adjustRightInd w:val="0"/>
        <w:snapToGrid w:val="0"/>
        <w:spacing w:line="360" w:lineRule="auto"/>
        <w:rPr>
          <w:rFonts w:ascii="宋体" w:hAnsi="宋体"/>
          <w:szCs w:val="21"/>
        </w:rPr>
      </w:pPr>
      <w:r>
        <w:rPr>
          <w:rFonts w:hint="eastAsia" w:ascii="宋体" w:hAnsi="宋体"/>
          <w:szCs w:val="21"/>
        </w:rPr>
        <w:t>④优化中国对外投资结构，加快“走出去”步伐 </w:t>
      </w:r>
    </w:p>
    <w:p>
      <w:pPr>
        <w:adjustRightInd w:val="0"/>
        <w:snapToGrid w:val="0"/>
        <w:spacing w:line="360" w:lineRule="auto"/>
        <w:rPr>
          <w:rFonts w:ascii="宋体" w:hAnsi="宋体"/>
          <w:szCs w:val="21"/>
        </w:rPr>
      </w:pPr>
      <w:r>
        <w:rPr>
          <w:rFonts w:hint="eastAsia" w:ascii="宋体" w:hAnsi="宋体"/>
          <w:szCs w:val="21"/>
        </w:rPr>
        <w:t>A．①②    B．①③   C．②④   D．③④ </w:t>
      </w:r>
    </w:p>
    <w:p>
      <w:pPr>
        <w:pStyle w:val="2"/>
        <w:snapToGrid w:val="0"/>
        <w:spacing w:line="360" w:lineRule="auto"/>
        <w:rPr>
          <w:rFonts w:hAnsi="宋体" w:cs="Times New Roman"/>
        </w:rPr>
      </w:pPr>
      <w:r>
        <w:rPr>
          <w:rFonts w:hint="eastAsia" w:hAnsi="宋体" w:cs="Times New Roman"/>
        </w:rPr>
        <w:t>5．</w:t>
      </w:r>
      <w:r>
        <w:rPr>
          <w:rFonts w:hAnsi="宋体" w:cs="Times New Roman"/>
        </w:rPr>
        <w:t xml:space="preserve"> 201</w:t>
      </w:r>
      <w:r>
        <w:rPr>
          <w:rFonts w:hint="eastAsia" w:hAnsi="宋体" w:cs="Times New Roman"/>
        </w:rPr>
        <w:t>5</w:t>
      </w:r>
      <w:r>
        <w:rPr>
          <w:rFonts w:hAnsi="宋体" w:cs="Times New Roman"/>
        </w:rPr>
        <w:t>年，某县农民种植的土豆产量大增，但市场没有相应扩大，农民不得不低价销售，收入不增反降。下图的①②③④中，能够反映这种“丰产不丰收”经济现象的是</w:t>
      </w:r>
      <w:r>
        <w:rPr>
          <w:rFonts w:hint="eastAsia" w:hAnsi="宋体"/>
        </w:rPr>
        <w:t>：(    ) </w:t>
      </w:r>
    </w:p>
    <w:p>
      <w:pPr>
        <w:widowControl/>
        <w:jc w:val="left"/>
        <w:rPr>
          <w:rFonts w:ascii="宋体" w:hAnsi="宋体" w:cs="宋体"/>
          <w:kern w:val="0"/>
          <w:szCs w:val="21"/>
        </w:rPr>
      </w:pPr>
      <w:r>
        <w:rPr>
          <w:kern w:val="0"/>
        </w:rPr>
        <w:pict>
          <v:shape id="_x0000_i1025" o:spt="75" alt=" " type="#_x0000_t75" style="height:178.5pt;width:326.25pt;" filled="f" o:preferrelative="t" stroked="f" coordsize="21600,21600">
            <v:path/>
            <v:fill on="f" focussize="0,0"/>
            <v:stroke on="f" joinstyle="miter"/>
            <v:imagedata r:id="rId6" r:href="rId7" o:title=""/>
            <o:lock v:ext="edit" aspectratio="t"/>
            <w10:wrap type="none"/>
            <w10:anchorlock/>
          </v:shape>
        </w:pict>
      </w:r>
    </w:p>
    <w:p>
      <w:pPr>
        <w:pStyle w:val="2"/>
        <w:snapToGrid w:val="0"/>
        <w:spacing w:line="360" w:lineRule="auto"/>
        <w:rPr>
          <w:rFonts w:hAnsi="宋体" w:cs="Times New Roman"/>
        </w:rPr>
      </w:pPr>
      <w:r>
        <w:rPr>
          <w:rFonts w:hint="eastAsia" w:hAnsi="宋体" w:cs="Times New Roman"/>
        </w:rPr>
        <w:t>A．①        B．②           C．③         D．④</w:t>
      </w:r>
    </w:p>
    <w:p>
      <w:pPr>
        <w:adjustRightInd w:val="0"/>
        <w:snapToGrid w:val="0"/>
        <w:spacing w:line="360" w:lineRule="auto"/>
        <w:rPr>
          <w:rFonts w:ascii="宋体" w:hAnsi="宋体"/>
          <w:szCs w:val="21"/>
        </w:rPr>
      </w:pPr>
      <w:r>
        <w:rPr>
          <w:rFonts w:hint="eastAsia" w:ascii="宋体" w:hAnsi="宋体" w:cs="宋体"/>
          <w:kern w:val="0"/>
          <w:szCs w:val="21"/>
        </w:rPr>
        <w:t>6.</w:t>
      </w:r>
      <w:r>
        <w:rPr>
          <w:rFonts w:hint="eastAsia" w:ascii="宋体" w:hAnsi="宋体"/>
          <w:szCs w:val="21"/>
        </w:rPr>
        <w:t>2014年我国内地公民出境游首次突破1亿人次，成为世界第一大出境客源市场。出国旅游趋势热的根本原因是人们：(    )  </w:t>
      </w:r>
    </w:p>
    <w:p>
      <w:pPr>
        <w:adjustRightInd w:val="0"/>
        <w:snapToGrid w:val="0"/>
        <w:spacing w:line="360" w:lineRule="auto"/>
        <w:rPr>
          <w:rFonts w:ascii="宋体" w:hAnsi="宋体"/>
          <w:szCs w:val="21"/>
        </w:rPr>
      </w:pPr>
      <w:r>
        <w:rPr>
          <w:rFonts w:hint="eastAsia" w:ascii="宋体" w:hAnsi="宋体"/>
          <w:szCs w:val="21"/>
        </w:rPr>
        <w:t>A．受从众心理影响 B．追求生活质量 C．收入水平提高 D．闲暇时间增加</w:t>
      </w:r>
    </w:p>
    <w:p>
      <w:pPr>
        <w:adjustRightInd w:val="0"/>
        <w:snapToGrid w:val="0"/>
        <w:spacing w:line="360" w:lineRule="auto"/>
        <w:rPr>
          <w:rFonts w:ascii="宋体" w:hAnsi="宋体"/>
          <w:szCs w:val="21"/>
        </w:rPr>
      </w:pPr>
      <w:r>
        <w:rPr>
          <w:rFonts w:hint="eastAsia" w:ascii="宋体" w:hAnsi="宋体"/>
          <w:szCs w:val="21"/>
        </w:rPr>
        <w:t>7.我国央行于2015年2月5日起全面下调金融机构人民币存款准备金率0.5个百分点。下列选项中能正确描述该政策对经济影响机制的是 ：(    ) </w:t>
      </w:r>
    </w:p>
    <w:p>
      <w:pPr>
        <w:adjustRightInd w:val="0"/>
        <w:snapToGrid w:val="0"/>
        <w:spacing w:line="360" w:lineRule="auto"/>
        <w:rPr>
          <w:rFonts w:ascii="宋体" w:hAnsi="宋体"/>
          <w:szCs w:val="21"/>
        </w:rPr>
      </w:pPr>
      <w:r>
        <w:rPr>
          <w:rFonts w:hint="eastAsia" w:ascii="宋体" w:hAnsi="宋体"/>
          <w:szCs w:val="21"/>
        </w:rPr>
        <w:t>A．货币供应量增加→利率上升→投资减少→总需求减少 </w:t>
      </w:r>
    </w:p>
    <w:p>
      <w:pPr>
        <w:adjustRightInd w:val="0"/>
        <w:snapToGrid w:val="0"/>
        <w:spacing w:line="360" w:lineRule="auto"/>
        <w:rPr>
          <w:rFonts w:ascii="宋体" w:hAnsi="宋体"/>
          <w:szCs w:val="21"/>
        </w:rPr>
      </w:pPr>
      <w:r>
        <w:rPr>
          <w:rFonts w:hint="eastAsia" w:ascii="宋体" w:hAnsi="宋体"/>
          <w:szCs w:val="21"/>
        </w:rPr>
        <w:t>B．货币供应量减少→利率降低→投资减少→总需求减少 </w:t>
      </w:r>
    </w:p>
    <w:p>
      <w:pPr>
        <w:adjustRightInd w:val="0"/>
        <w:snapToGrid w:val="0"/>
        <w:spacing w:line="360" w:lineRule="auto"/>
        <w:rPr>
          <w:rFonts w:ascii="宋体" w:hAnsi="宋体"/>
          <w:szCs w:val="21"/>
        </w:rPr>
      </w:pPr>
      <w:r>
        <w:rPr>
          <w:rFonts w:hint="eastAsia" w:ascii="宋体" w:hAnsi="宋体"/>
          <w:szCs w:val="21"/>
        </w:rPr>
        <w:t>C．货币供应量减少→利率上升→投资增加→总需求增加 </w:t>
      </w:r>
    </w:p>
    <w:p>
      <w:pPr>
        <w:adjustRightInd w:val="0"/>
        <w:snapToGrid w:val="0"/>
        <w:spacing w:line="360" w:lineRule="auto"/>
        <w:rPr>
          <w:rFonts w:ascii="宋体" w:hAnsi="宋体"/>
          <w:szCs w:val="21"/>
        </w:rPr>
      </w:pPr>
      <w:r>
        <w:rPr>
          <w:rFonts w:hint="eastAsia" w:ascii="宋体" w:hAnsi="宋体"/>
          <w:szCs w:val="21"/>
        </w:rPr>
        <w:t>D．货币供应量增加→利率降低→投资增加→总需求增加</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8.2015年6月，国家统计数据显示，5月份CPI（居民消费价格指数）同比上涨1.2%。1至5月份平均，全国居民消费价格总水平比去年同期上涨1.3%。下列措施能够促进CPI下降的是</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①提高利率，实施紧缩性的货币政策     ②增发国债，实施积极的货币政策</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③增加税收，实施紧缩的财政政策       ④降低利率，实施紧缩的财政政策</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A.①③          B.②④        C.②③      D.③④</w:t>
      </w:r>
    </w:p>
    <w:p>
      <w:pPr>
        <w:shd w:val="clear" w:color="auto" w:fill="FFFFFF"/>
        <w:adjustRightInd w:val="0"/>
        <w:snapToGrid w:val="0"/>
        <w:spacing w:line="360" w:lineRule="auto"/>
        <w:rPr>
          <w:rFonts w:ascii="宋体" w:hAnsi="宋体" w:cs="宋体"/>
          <w:kern w:val="0"/>
          <w:szCs w:val="21"/>
        </w:rPr>
      </w:pPr>
      <w:r>
        <w:rPr>
          <w:rFonts w:hint="eastAsia" w:ascii="宋体" w:hAnsi="宋体"/>
          <w:szCs w:val="21"/>
        </w:rPr>
        <w:t xml:space="preserve">9. </w:t>
      </w:r>
      <w:r>
        <w:rPr>
          <w:rFonts w:hint="eastAsia" w:ascii="宋体" w:hAnsi="宋体" w:cs="宋体"/>
          <w:kern w:val="0"/>
          <w:szCs w:val="21"/>
        </w:rPr>
        <w:t>江南名产庆元甜桔柚、宁波红膏咸炝蟹、金华火腿等，质量好价格高，乡下小镇的人，因其价高而舍不得买，但是上海等大城市的人，因其好吃而很乐意掏钱购买，这些商品的销量比乡下好很多。上述商品的市场表现反映了</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①商品供不应求决定价格较高    ②我国居民以享受资料消费为主</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③收入是消费的基础和前提      ④商品是使用价值与价值的统一体</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A.②③        B.①③       C.②④        D.③④</w:t>
      </w:r>
    </w:p>
    <w:p>
      <w:pPr>
        <w:shd w:val="clear" w:color="auto" w:fill="FFFFFF"/>
        <w:adjustRightInd w:val="0"/>
        <w:snapToGrid w:val="0"/>
        <w:spacing w:line="360" w:lineRule="auto"/>
        <w:rPr>
          <w:rFonts w:ascii="宋体" w:hAnsi="宋体"/>
          <w:szCs w:val="21"/>
        </w:rPr>
      </w:pPr>
    </w:p>
    <w:p>
      <w:pPr>
        <w:shd w:val="clear" w:color="auto" w:fill="FFFFFF"/>
        <w:adjustRightInd w:val="0"/>
        <w:snapToGrid w:val="0"/>
        <w:spacing w:line="360" w:lineRule="auto"/>
        <w:rPr>
          <w:rFonts w:ascii="宋体" w:hAnsi="宋体" w:cs="宋体"/>
          <w:kern w:val="0"/>
          <w:szCs w:val="21"/>
        </w:rPr>
      </w:pPr>
      <w:r>
        <w:rPr>
          <w:rFonts w:hint="eastAsia" w:ascii="宋体" w:hAnsi="宋体"/>
          <w:szCs w:val="21"/>
        </w:rPr>
        <w:t xml:space="preserve">10. </w:t>
      </w:r>
      <w:r>
        <w:rPr>
          <w:rFonts w:hint="eastAsia" w:ascii="宋体" w:hAnsi="宋体" w:cs="宋体"/>
          <w:kern w:val="0"/>
          <w:szCs w:val="21"/>
        </w:rPr>
        <w:t>随着国家不断倡导绿色消费理念，越来越多的人响应“光盘行动”，拒绝“舌尖上的浪费”。W市某餐厅为顾客提供“半份菜”“小份菜”“热菜拼盘”、免费打包等服务，并鼓励把没吃完的剩菜打包带走。该餐厅的做法：</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①根本目的在于引领消费行为，促进绿色消费    ②体现了消费对生产的反作用</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③凸显了该企业积极履行社会责任              ④鼓励消费者坚持量入为出的消费原则</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A.①③         B.③④      C.②③        D.①②</w:t>
      </w:r>
    </w:p>
    <w:p>
      <w:pPr>
        <w:shd w:val="clear" w:color="auto" w:fill="FFFFFF"/>
        <w:adjustRightInd w:val="0"/>
        <w:snapToGrid w:val="0"/>
        <w:spacing w:line="360" w:lineRule="auto"/>
        <w:rPr>
          <w:rFonts w:ascii="宋体" w:hAnsi="宋体" w:cs="宋体"/>
          <w:kern w:val="0"/>
          <w:szCs w:val="21"/>
        </w:rPr>
      </w:pPr>
      <w:r>
        <w:rPr>
          <w:rFonts w:hint="eastAsia" w:ascii="宋体" w:hAnsi="宋体"/>
          <w:szCs w:val="21"/>
        </w:rPr>
        <w:t xml:space="preserve">11. </w:t>
      </w:r>
      <w:r>
        <w:rPr>
          <w:rFonts w:hint="eastAsia" w:ascii="宋体" w:hAnsi="宋体" w:cs="宋体"/>
          <w:kern w:val="0"/>
          <w:szCs w:val="21"/>
        </w:rPr>
        <w:t>下表是我国201</w:t>
      </w:r>
      <w:r>
        <w:rPr>
          <w:rFonts w:ascii="宋体" w:hAnsi="宋体" w:cs="宋体"/>
          <w:kern w:val="0"/>
          <w:szCs w:val="21"/>
        </w:rPr>
        <w:t>7</w:t>
      </w:r>
      <w:r>
        <w:rPr>
          <w:rFonts w:hint="eastAsia" w:ascii="宋体" w:hAnsi="宋体" w:cs="宋体"/>
          <w:kern w:val="0"/>
          <w:szCs w:val="21"/>
        </w:rPr>
        <w:t>—201</w:t>
      </w:r>
      <w:r>
        <w:rPr>
          <w:rFonts w:ascii="宋体" w:hAnsi="宋体" w:cs="宋体"/>
          <w:kern w:val="0"/>
          <w:szCs w:val="21"/>
        </w:rPr>
        <w:t>8</w:t>
      </w:r>
      <w:r>
        <w:rPr>
          <w:rFonts w:hint="eastAsia" w:ascii="宋体" w:hAnsi="宋体" w:cs="宋体"/>
          <w:kern w:val="0"/>
          <w:szCs w:val="21"/>
        </w:rPr>
        <w:t>年部分经济数据，从下表可以推论出：</w:t>
      </w:r>
      <w:r>
        <w:rPr>
          <w:rFonts w:hint="eastAsia" w:ascii="宋体" w:hAnsi="宋体"/>
          <w:szCs w:val="21"/>
        </w:rPr>
        <w:t>：(    ) </w:t>
      </w:r>
    </w:p>
    <w:tbl>
      <w:tblPr>
        <w:tblStyle w:val="8"/>
        <w:tblW w:w="7847" w:type="dxa"/>
        <w:jc w:val="center"/>
        <w:tblInd w:w="0" w:type="dxa"/>
        <w:tblLayout w:type="fixed"/>
        <w:tblCellMar>
          <w:top w:w="0" w:type="dxa"/>
          <w:left w:w="0" w:type="dxa"/>
          <w:bottom w:w="0" w:type="dxa"/>
          <w:right w:w="0" w:type="dxa"/>
        </w:tblCellMar>
      </w:tblPr>
      <w:tblGrid>
        <w:gridCol w:w="1262"/>
        <w:gridCol w:w="1539"/>
        <w:gridCol w:w="1542"/>
        <w:gridCol w:w="1683"/>
        <w:gridCol w:w="1821"/>
      </w:tblGrid>
      <w:tr>
        <w:tblPrEx>
          <w:tblLayout w:type="fixed"/>
          <w:tblCellMar>
            <w:top w:w="0" w:type="dxa"/>
            <w:left w:w="0" w:type="dxa"/>
            <w:bottom w:w="0" w:type="dxa"/>
            <w:right w:w="0" w:type="dxa"/>
          </w:tblCellMar>
        </w:tblPrEx>
        <w:trPr>
          <w:trHeight w:val="258" w:hRule="atLeast"/>
          <w:jc w:val="center"/>
        </w:trPr>
        <w:tc>
          <w:tcPr>
            <w:tcW w:w="2801" w:type="dxa"/>
            <w:gridSpan w:val="2"/>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国内生产总值增长速度</w:t>
            </w:r>
          </w:p>
        </w:tc>
        <w:tc>
          <w:tcPr>
            <w:tcW w:w="5046" w:type="dxa"/>
            <w:gridSpan w:val="3"/>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201</w:t>
            </w:r>
            <w:r>
              <w:rPr>
                <w:rFonts w:ascii="宋体" w:hAnsi="宋体" w:cs="宋体"/>
                <w:kern w:val="0"/>
                <w:szCs w:val="21"/>
              </w:rPr>
              <w:t>8</w:t>
            </w:r>
            <w:r>
              <w:rPr>
                <w:rFonts w:hint="eastAsia" w:ascii="宋体" w:hAnsi="宋体" w:cs="宋体"/>
                <w:kern w:val="0"/>
                <w:szCs w:val="21"/>
              </w:rPr>
              <w:t>年三大产业增加值及增幅</w:t>
            </w:r>
          </w:p>
        </w:tc>
      </w:tr>
      <w:tr>
        <w:tblPrEx>
          <w:tblLayout w:type="fixed"/>
          <w:tblCellMar>
            <w:top w:w="0" w:type="dxa"/>
            <w:left w:w="0" w:type="dxa"/>
            <w:bottom w:w="0" w:type="dxa"/>
            <w:right w:w="0" w:type="dxa"/>
          </w:tblCellMar>
        </w:tblPrEx>
        <w:trPr>
          <w:trHeight w:val="244" w:hRule="atLeast"/>
          <w:jc w:val="center"/>
        </w:trPr>
        <w:tc>
          <w:tcPr>
            <w:tcW w:w="1262"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201</w:t>
            </w:r>
            <w:r>
              <w:rPr>
                <w:rFonts w:ascii="宋体" w:hAnsi="宋体" w:cs="宋体"/>
                <w:kern w:val="0"/>
                <w:szCs w:val="21"/>
              </w:rPr>
              <w:t>7</w:t>
            </w:r>
            <w:r>
              <w:rPr>
                <w:rFonts w:hint="eastAsia" w:ascii="宋体" w:hAnsi="宋体" w:cs="宋体"/>
                <w:kern w:val="0"/>
                <w:szCs w:val="21"/>
              </w:rPr>
              <w:t>年</w:t>
            </w:r>
          </w:p>
        </w:tc>
        <w:tc>
          <w:tcPr>
            <w:tcW w:w="153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201</w:t>
            </w:r>
            <w:r>
              <w:rPr>
                <w:rFonts w:ascii="宋体" w:hAnsi="宋体" w:cs="宋体"/>
                <w:kern w:val="0"/>
                <w:szCs w:val="21"/>
              </w:rPr>
              <w:t>8</w:t>
            </w:r>
            <w:r>
              <w:rPr>
                <w:rFonts w:hint="eastAsia" w:ascii="宋体" w:hAnsi="宋体" w:cs="宋体"/>
                <w:kern w:val="0"/>
                <w:szCs w:val="21"/>
              </w:rPr>
              <w:t>年</w:t>
            </w:r>
          </w:p>
        </w:tc>
        <w:tc>
          <w:tcPr>
            <w:tcW w:w="1542"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第一产业</w:t>
            </w:r>
          </w:p>
        </w:tc>
        <w:tc>
          <w:tcPr>
            <w:tcW w:w="168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第二产业</w:t>
            </w:r>
          </w:p>
        </w:tc>
        <w:tc>
          <w:tcPr>
            <w:tcW w:w="18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第三产业</w:t>
            </w:r>
          </w:p>
        </w:tc>
      </w:tr>
      <w:tr>
        <w:tblPrEx>
          <w:tblLayout w:type="fixed"/>
          <w:tblCellMar>
            <w:top w:w="0" w:type="dxa"/>
            <w:left w:w="0" w:type="dxa"/>
            <w:bottom w:w="0" w:type="dxa"/>
            <w:right w:w="0" w:type="dxa"/>
          </w:tblCellMar>
        </w:tblPrEx>
        <w:trPr>
          <w:trHeight w:val="231" w:hRule="atLeast"/>
          <w:jc w:val="center"/>
        </w:trPr>
        <w:tc>
          <w:tcPr>
            <w:tcW w:w="1262" w:type="dxa"/>
            <w:vMerge w:val="restart"/>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7.7%</w:t>
            </w:r>
          </w:p>
        </w:tc>
        <w:tc>
          <w:tcPr>
            <w:tcW w:w="1539" w:type="dxa"/>
            <w:vMerge w:val="restar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7.4%</w:t>
            </w:r>
          </w:p>
        </w:tc>
        <w:tc>
          <w:tcPr>
            <w:tcW w:w="1542"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58332亿元</w:t>
            </w:r>
          </w:p>
        </w:tc>
        <w:tc>
          <w:tcPr>
            <w:tcW w:w="168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271392亿元</w:t>
            </w:r>
          </w:p>
        </w:tc>
        <w:tc>
          <w:tcPr>
            <w:tcW w:w="18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306739亿元</w:t>
            </w:r>
          </w:p>
        </w:tc>
      </w:tr>
      <w:tr>
        <w:tblPrEx>
          <w:tblLayout w:type="fixed"/>
          <w:tblCellMar>
            <w:top w:w="0" w:type="dxa"/>
            <w:left w:w="0" w:type="dxa"/>
            <w:bottom w:w="0" w:type="dxa"/>
            <w:right w:w="0" w:type="dxa"/>
          </w:tblCellMar>
        </w:tblPrEx>
        <w:trPr>
          <w:trHeight w:val="35" w:hRule="atLeast"/>
          <w:jc w:val="center"/>
        </w:trPr>
        <w:tc>
          <w:tcPr>
            <w:tcW w:w="1262" w:type="dxa"/>
            <w:vMerge w:val="continue"/>
            <w:tcBorders>
              <w:top w:val="nil"/>
              <w:left w:val="single" w:color="auto" w:sz="8" w:space="0"/>
              <w:bottom w:val="single" w:color="auto" w:sz="8" w:space="0"/>
              <w:right w:val="single" w:color="auto" w:sz="8" w:space="0"/>
            </w:tcBorders>
            <w:vAlign w:val="center"/>
          </w:tcPr>
          <w:p>
            <w:pPr>
              <w:widowControl/>
              <w:adjustRightInd w:val="0"/>
              <w:snapToGrid w:val="0"/>
              <w:spacing w:line="360" w:lineRule="auto"/>
              <w:jc w:val="left"/>
              <w:rPr>
                <w:rFonts w:ascii="宋体" w:hAnsi="宋体" w:cs="宋体"/>
                <w:kern w:val="0"/>
                <w:szCs w:val="21"/>
              </w:rPr>
            </w:pPr>
          </w:p>
        </w:tc>
        <w:tc>
          <w:tcPr>
            <w:tcW w:w="1539" w:type="dxa"/>
            <w:vMerge w:val="continue"/>
            <w:tcBorders>
              <w:top w:val="nil"/>
              <w:left w:val="nil"/>
              <w:bottom w:val="single" w:color="auto" w:sz="8" w:space="0"/>
              <w:right w:val="single" w:color="auto" w:sz="8" w:space="0"/>
            </w:tcBorders>
            <w:vAlign w:val="center"/>
          </w:tcPr>
          <w:p>
            <w:pPr>
              <w:widowControl/>
              <w:adjustRightInd w:val="0"/>
              <w:snapToGrid w:val="0"/>
              <w:spacing w:line="360" w:lineRule="auto"/>
              <w:jc w:val="left"/>
              <w:rPr>
                <w:rFonts w:ascii="宋体" w:hAnsi="宋体" w:cs="宋体"/>
                <w:kern w:val="0"/>
                <w:szCs w:val="21"/>
              </w:rPr>
            </w:pPr>
          </w:p>
        </w:tc>
        <w:tc>
          <w:tcPr>
            <w:tcW w:w="1542"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4.1%</w:t>
            </w:r>
          </w:p>
        </w:tc>
        <w:tc>
          <w:tcPr>
            <w:tcW w:w="168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7.3%</w:t>
            </w:r>
          </w:p>
        </w:tc>
        <w:tc>
          <w:tcPr>
            <w:tcW w:w="18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8.1%</w:t>
            </w:r>
          </w:p>
        </w:tc>
      </w:tr>
    </w:tbl>
    <w:p>
      <w:pPr>
        <w:widowControl/>
        <w:shd w:val="clear" w:color="auto" w:fill="FFFFFF"/>
        <w:adjustRightInd w:val="0"/>
        <w:snapToGrid w:val="0"/>
        <w:spacing w:line="360" w:lineRule="auto"/>
        <w:jc w:val="left"/>
        <w:rPr>
          <w:rFonts w:ascii="楷体_GB2312" w:hAnsi="宋体" w:eastAsia="楷体_GB2312"/>
          <w:kern w:val="0"/>
          <w:szCs w:val="21"/>
        </w:rPr>
      </w:pPr>
      <w:r>
        <w:rPr>
          <w:rFonts w:hint="eastAsia" w:ascii="楷体_GB2312" w:hAnsi="宋体" w:eastAsia="楷体_GB2312"/>
          <w:kern w:val="0"/>
          <w:szCs w:val="21"/>
        </w:rPr>
        <w:t>注：第三产业占GDP比重48.2%，比上年同期提高1.3个百分点，高于第二产业5.6个百分点。</w:t>
      </w:r>
    </w:p>
    <w:p>
      <w:pPr>
        <w:widowControl/>
        <w:numPr>
          <w:ilvl w:val="0"/>
          <w:numId w:val="1"/>
        </w:numPr>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我国产业结构更趋优化，发展质量提高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②我国产业结构不合理，劳动者素质不高</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③我国国内生产总值出现一定程度的减少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④我国国民经济持续健康发展</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A.②③      B.①③       C.②④         D.①④</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szCs w:val="21"/>
        </w:rPr>
        <w:t>12.</w:t>
      </w:r>
      <w:r>
        <w:rPr>
          <w:rFonts w:hint="eastAsia" w:ascii="宋体" w:hAnsi="宋体" w:cs="宋体"/>
          <w:kern w:val="0"/>
          <w:szCs w:val="21"/>
        </w:rPr>
        <w:t>收入分配改革涉及千家万户的“钱袋子”，是社会公平的敏感问题。在当前情况下，我国再分配更加注重公平的合理措施是</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A.提高居民社会保障待遇  B.提倡全民创业万众创新</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C.推进国有资本证券化    D.推动劳动密集型中小企业员工工资增长机制建设</w:t>
      </w:r>
    </w:p>
    <w:p>
      <w:pPr>
        <w:adjustRightInd w:val="0"/>
        <w:snapToGrid w:val="0"/>
        <w:spacing w:line="360" w:lineRule="auto"/>
        <w:rPr>
          <w:rFonts w:ascii="宋体" w:hAnsi="宋体"/>
          <w:szCs w:val="21"/>
        </w:rPr>
      </w:pPr>
      <w:r>
        <w:rPr>
          <w:rFonts w:hint="eastAsia" w:ascii="宋体" w:hAnsi="宋体"/>
          <w:szCs w:val="21"/>
        </w:rPr>
        <w:t>13. 在核算一定时期的各项经济收支往来时,人们通常使用现金结算和转账结算。现金结算和转账结算的区别是 ：(    ) </w:t>
      </w:r>
    </w:p>
    <w:p>
      <w:pPr>
        <w:adjustRightInd w:val="0"/>
        <w:snapToGrid w:val="0"/>
        <w:spacing w:line="360" w:lineRule="auto"/>
        <w:rPr>
          <w:rFonts w:ascii="宋体" w:hAnsi="宋体"/>
          <w:szCs w:val="21"/>
        </w:rPr>
      </w:pPr>
      <w:r>
        <w:rPr>
          <w:rFonts w:hint="eastAsia" w:ascii="宋体" w:hAnsi="宋体"/>
          <w:szCs w:val="21"/>
        </w:rPr>
        <w:t>A.前者不能透支,后者可以透支 </w:t>
      </w:r>
    </w:p>
    <w:p>
      <w:pPr>
        <w:adjustRightInd w:val="0"/>
        <w:snapToGrid w:val="0"/>
        <w:spacing w:line="360" w:lineRule="auto"/>
        <w:rPr>
          <w:rFonts w:ascii="宋体" w:hAnsi="宋体"/>
          <w:szCs w:val="21"/>
        </w:rPr>
      </w:pPr>
      <w:r>
        <w:rPr>
          <w:rFonts w:hint="eastAsia" w:ascii="宋体" w:hAnsi="宋体"/>
          <w:szCs w:val="21"/>
        </w:rPr>
        <w:t>B.前者只针对小件商品买卖,后者只针对大件商品买卖 </w:t>
      </w:r>
    </w:p>
    <w:p>
      <w:pPr>
        <w:adjustRightInd w:val="0"/>
        <w:snapToGrid w:val="0"/>
        <w:spacing w:line="360" w:lineRule="auto"/>
        <w:rPr>
          <w:rFonts w:ascii="宋体" w:hAnsi="宋体"/>
          <w:szCs w:val="21"/>
        </w:rPr>
      </w:pPr>
      <w:r>
        <w:rPr>
          <w:rFonts w:hint="eastAsia" w:ascii="宋体" w:hAnsi="宋体"/>
          <w:szCs w:val="21"/>
        </w:rPr>
        <w:t>C.前者适用于国内,后者适用于国外 </w:t>
      </w:r>
    </w:p>
    <w:p>
      <w:pPr>
        <w:adjustRightInd w:val="0"/>
        <w:snapToGrid w:val="0"/>
        <w:spacing w:line="360" w:lineRule="auto"/>
        <w:rPr>
          <w:rFonts w:ascii="宋体" w:hAnsi="宋体"/>
          <w:szCs w:val="21"/>
        </w:rPr>
      </w:pPr>
      <w:r>
        <w:rPr>
          <w:rFonts w:hint="eastAsia" w:ascii="宋体" w:hAnsi="宋体"/>
          <w:szCs w:val="21"/>
        </w:rPr>
        <w:t>D.前者用现金来完成经济往来的收付行为,后者是通过银行转账来完成经济往来的收付行为</w:t>
      </w:r>
    </w:p>
    <w:p>
      <w:pPr>
        <w:adjustRightInd w:val="0"/>
        <w:snapToGrid w:val="0"/>
        <w:spacing w:line="360" w:lineRule="auto"/>
        <w:rPr>
          <w:rFonts w:ascii="宋体" w:hAnsi="宋体"/>
          <w:szCs w:val="21"/>
        </w:rPr>
      </w:pPr>
      <w:r>
        <w:rPr>
          <w:rFonts w:hint="eastAsia" w:ascii="宋体" w:hAnsi="宋体"/>
          <w:szCs w:val="21"/>
        </w:rPr>
        <w:t>14. 甲商品的价格下降50%,乙商品的需求量随之增加25%。不考虑其他因素,假设2014年甲商品的社会劳动生产率提高1倍,则 ：(    ) </w:t>
      </w:r>
    </w:p>
    <w:p>
      <w:pPr>
        <w:adjustRightInd w:val="0"/>
        <w:snapToGrid w:val="0"/>
        <w:spacing w:line="360" w:lineRule="auto"/>
        <w:rPr>
          <w:rFonts w:ascii="宋体" w:hAnsi="宋体"/>
          <w:szCs w:val="21"/>
        </w:rPr>
      </w:pPr>
      <w:r>
        <w:rPr>
          <w:rFonts w:hint="eastAsia" w:ascii="宋体" w:hAnsi="宋体"/>
          <w:szCs w:val="21"/>
        </w:rPr>
        <w:t>A.乙商品的价格下降10%   B.乙商品的需求量增加20% </w:t>
      </w:r>
    </w:p>
    <w:p>
      <w:pPr>
        <w:adjustRightInd w:val="0"/>
        <w:snapToGrid w:val="0"/>
        <w:spacing w:line="360" w:lineRule="auto"/>
        <w:rPr>
          <w:rFonts w:ascii="宋体" w:hAnsi="宋体"/>
          <w:szCs w:val="21"/>
        </w:rPr>
      </w:pPr>
      <w:r>
        <w:rPr>
          <w:rFonts w:hint="eastAsia" w:ascii="宋体" w:hAnsi="宋体"/>
          <w:szCs w:val="21"/>
        </w:rPr>
        <w:t>C.乙商品的需求量增加50% D.乙商品的需求量增加25%</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15. 有分析人士称,随着人们对健康生活的日益重视,未来空气净化器行业发展前景十分广阔。这说明 ：(    ) </w:t>
      </w:r>
    </w:p>
    <w:p>
      <w:pPr>
        <w:adjustRightInd w:val="0"/>
        <w:snapToGrid w:val="0"/>
        <w:spacing w:line="360" w:lineRule="auto"/>
        <w:rPr>
          <w:rFonts w:ascii="宋体" w:hAnsi="宋体"/>
          <w:szCs w:val="21"/>
        </w:rPr>
      </w:pPr>
      <w:r>
        <w:rPr>
          <w:rFonts w:hint="eastAsia" w:ascii="宋体" w:hAnsi="宋体"/>
          <w:szCs w:val="21"/>
        </w:rPr>
        <w:t>①保护环境的观念深入人心             ②消费对生产具有导向作用 </w:t>
      </w:r>
    </w:p>
    <w:p>
      <w:pPr>
        <w:adjustRightInd w:val="0"/>
        <w:snapToGrid w:val="0"/>
        <w:spacing w:line="360" w:lineRule="auto"/>
        <w:rPr>
          <w:rFonts w:ascii="宋体" w:hAnsi="宋体"/>
          <w:szCs w:val="21"/>
        </w:rPr>
      </w:pPr>
      <w:r>
        <w:rPr>
          <w:rFonts w:hint="eastAsia" w:ascii="宋体" w:hAnsi="宋体"/>
          <w:szCs w:val="21"/>
        </w:rPr>
        <w:t>③消费热点的出现能带动相关产业的成长 ④生产决定消费的质量和水平 </w:t>
      </w:r>
    </w:p>
    <w:p>
      <w:pPr>
        <w:adjustRightInd w:val="0"/>
        <w:snapToGrid w:val="0"/>
        <w:spacing w:line="360" w:lineRule="auto"/>
        <w:rPr>
          <w:rFonts w:ascii="宋体" w:hAnsi="宋体"/>
          <w:szCs w:val="21"/>
        </w:rPr>
      </w:pPr>
      <w:r>
        <w:rPr>
          <w:rFonts w:hint="eastAsia" w:ascii="宋体" w:hAnsi="宋体"/>
          <w:szCs w:val="21"/>
        </w:rPr>
        <w:t>A.①②     B.①④     C.②③      D.③④ </w:t>
      </w:r>
    </w:p>
    <w:p>
      <w:pPr>
        <w:adjustRightInd w:val="0"/>
        <w:snapToGrid w:val="0"/>
        <w:spacing w:line="360" w:lineRule="auto"/>
        <w:rPr>
          <w:rFonts w:ascii="宋体" w:hAnsi="宋体"/>
          <w:szCs w:val="21"/>
        </w:rPr>
      </w:pPr>
      <w:r>
        <w:rPr>
          <w:rFonts w:hint="eastAsia" w:ascii="宋体" w:hAnsi="宋体"/>
          <w:szCs w:val="21"/>
        </w:rPr>
        <w:t>16.据国家统计局数据显示,201</w:t>
      </w:r>
      <w:r>
        <w:rPr>
          <w:rFonts w:ascii="宋体" w:hAnsi="宋体"/>
          <w:szCs w:val="21"/>
        </w:rPr>
        <w:t>7</w:t>
      </w:r>
      <w:r>
        <w:rPr>
          <w:rFonts w:hint="eastAsia" w:ascii="宋体" w:hAnsi="宋体"/>
          <w:szCs w:val="21"/>
        </w:rPr>
        <w:t>年全年社会消费品零售总额234380亿元,比上年名义增长13.1%(扣除价格因素实际增长11.5%),增速已连续两年回落,略显疲软之势。对此,正确的应对措施是 ：(    ) </w:t>
      </w:r>
    </w:p>
    <w:p>
      <w:pPr>
        <w:adjustRightInd w:val="0"/>
        <w:snapToGrid w:val="0"/>
        <w:spacing w:line="360" w:lineRule="auto"/>
        <w:rPr>
          <w:rFonts w:ascii="宋体" w:hAnsi="宋体"/>
          <w:szCs w:val="21"/>
        </w:rPr>
      </w:pPr>
      <w:r>
        <w:rPr>
          <w:rFonts w:hint="eastAsia" w:ascii="宋体" w:hAnsi="宋体"/>
          <w:szCs w:val="21"/>
        </w:rPr>
        <w:t>①引导消费行为,提高居民恩格尔系数 ②提高银行利率,增加市场货币流通量 </w:t>
      </w:r>
    </w:p>
    <w:p>
      <w:pPr>
        <w:adjustRightInd w:val="0"/>
        <w:snapToGrid w:val="0"/>
        <w:spacing w:line="360" w:lineRule="auto"/>
        <w:rPr>
          <w:rFonts w:ascii="宋体" w:hAnsi="宋体"/>
          <w:szCs w:val="21"/>
        </w:rPr>
      </w:pPr>
      <w:r>
        <w:rPr>
          <w:rFonts w:hint="eastAsia" w:ascii="宋体" w:hAnsi="宋体"/>
          <w:szCs w:val="21"/>
        </w:rPr>
        <w:t>③减少流通环节,稳定市场的物价水平 ④健全社保体系,稳定人们的消费预期 </w:t>
      </w:r>
    </w:p>
    <w:p>
      <w:pPr>
        <w:adjustRightInd w:val="0"/>
        <w:snapToGrid w:val="0"/>
        <w:spacing w:line="360" w:lineRule="auto"/>
        <w:rPr>
          <w:rFonts w:ascii="宋体" w:hAnsi="宋体"/>
          <w:szCs w:val="21"/>
        </w:rPr>
      </w:pPr>
      <w:r>
        <w:rPr>
          <w:rFonts w:hint="eastAsia" w:ascii="宋体" w:hAnsi="宋体"/>
          <w:szCs w:val="21"/>
        </w:rPr>
        <w:t>A.①④      B.②③     C.②④      D.③④</w:t>
      </w:r>
    </w:p>
    <w:p>
      <w:pPr>
        <w:adjustRightInd w:val="0"/>
        <w:snapToGrid w:val="0"/>
        <w:spacing w:line="360" w:lineRule="auto"/>
        <w:rPr>
          <w:rFonts w:ascii="宋体" w:hAnsi="宋体"/>
          <w:szCs w:val="21"/>
        </w:rPr>
      </w:pPr>
      <w:r>
        <w:rPr>
          <w:rFonts w:hint="eastAsia" w:ascii="宋体" w:hAnsi="宋体"/>
          <w:szCs w:val="21"/>
        </w:rPr>
        <w:t>17. 风险性是居民投资理财考虑的一个重要因素。下列投资理财产品的风险性从低到高排序，正确的是  ：(    )      </w:t>
      </w:r>
    </w:p>
    <w:p>
      <w:pPr>
        <w:adjustRightInd w:val="0"/>
        <w:snapToGrid w:val="0"/>
        <w:spacing w:line="360" w:lineRule="auto"/>
        <w:rPr>
          <w:rFonts w:ascii="宋体" w:hAnsi="宋体"/>
          <w:szCs w:val="21"/>
        </w:rPr>
      </w:pPr>
      <w:r>
        <w:rPr>
          <w:rFonts w:hint="eastAsia" w:ascii="宋体" w:hAnsi="宋体"/>
          <w:szCs w:val="21"/>
        </w:rPr>
        <w:t> ①金融债券   ②企业债券 ③国债  ④股票 </w:t>
      </w:r>
    </w:p>
    <w:p>
      <w:pPr>
        <w:adjustRightInd w:val="0"/>
        <w:snapToGrid w:val="0"/>
        <w:spacing w:line="360" w:lineRule="auto"/>
        <w:rPr>
          <w:rFonts w:ascii="宋体" w:hAnsi="宋体"/>
          <w:szCs w:val="21"/>
        </w:rPr>
      </w:pPr>
      <w:r>
        <w:rPr>
          <w:rFonts w:hint="eastAsia" w:ascii="宋体" w:hAnsi="宋体"/>
          <w:szCs w:val="21"/>
        </w:rPr>
        <w:t>A．①③②④      B. ③①②④        C. ④①③②       D. ②④①③ </w:t>
      </w:r>
    </w:p>
    <w:p>
      <w:pPr>
        <w:adjustRightInd w:val="0"/>
        <w:snapToGrid w:val="0"/>
        <w:spacing w:line="360" w:lineRule="auto"/>
        <w:rPr>
          <w:rFonts w:ascii="宋体" w:hAnsi="宋体"/>
          <w:szCs w:val="21"/>
        </w:rPr>
      </w:pPr>
      <w:r>
        <w:rPr>
          <w:rFonts w:hint="eastAsia" w:ascii="宋体" w:hAnsi="宋体"/>
          <w:szCs w:val="21"/>
        </w:rPr>
        <w:t>18. 破解“失业怪圈”（家庭成员失业→家庭贫困→家庭教育支出减少→家庭成员科学文化素质和劳动技能低→引发新一轮就业困难），政府应该：(    )   </w:t>
      </w:r>
    </w:p>
    <w:p>
      <w:pPr>
        <w:adjustRightInd w:val="0"/>
        <w:snapToGrid w:val="0"/>
        <w:spacing w:line="360" w:lineRule="auto"/>
        <w:rPr>
          <w:rFonts w:ascii="宋体" w:hAnsi="宋体"/>
          <w:szCs w:val="21"/>
        </w:rPr>
      </w:pPr>
      <w:r>
        <w:rPr>
          <w:rFonts w:hint="eastAsia" w:ascii="宋体" w:hAnsi="宋体"/>
          <w:szCs w:val="21"/>
        </w:rPr>
        <w:t> ①发展经济、实施积极的就业政策      ②改善就业结构、加强职业培训  </w:t>
      </w:r>
    </w:p>
    <w:p>
      <w:pPr>
        <w:adjustRightInd w:val="0"/>
        <w:snapToGrid w:val="0"/>
        <w:spacing w:line="360" w:lineRule="auto"/>
        <w:rPr>
          <w:rFonts w:ascii="宋体" w:hAnsi="宋体"/>
          <w:szCs w:val="21"/>
        </w:rPr>
      </w:pPr>
      <w:r>
        <w:rPr>
          <w:rFonts w:hint="eastAsia" w:ascii="宋体" w:hAnsi="宋体"/>
          <w:szCs w:val="21"/>
        </w:rPr>
        <w:t> ③加强引导、完善市场就业机制    ④劳动者转变就业观念、提高职业技能</w:t>
      </w:r>
    </w:p>
    <w:p>
      <w:pPr>
        <w:adjustRightInd w:val="0"/>
        <w:snapToGrid w:val="0"/>
        <w:spacing w:line="360" w:lineRule="auto"/>
        <w:rPr>
          <w:rFonts w:ascii="宋体" w:hAnsi="宋体"/>
          <w:szCs w:val="21"/>
        </w:rPr>
      </w:pPr>
      <w:r>
        <w:rPr>
          <w:rFonts w:hint="eastAsia" w:ascii="宋体" w:hAnsi="宋体"/>
          <w:szCs w:val="21"/>
        </w:rPr>
        <w:t> A．①③④        B．①②③       C．①②④        D．①②③④ </w:t>
      </w:r>
    </w:p>
    <w:p>
      <w:pPr>
        <w:adjustRightInd w:val="0"/>
        <w:snapToGrid w:val="0"/>
        <w:spacing w:line="360" w:lineRule="auto"/>
        <w:rPr>
          <w:rFonts w:ascii="宋体" w:hAnsi="宋体"/>
          <w:szCs w:val="21"/>
        </w:rPr>
      </w:pPr>
      <w:r>
        <w:rPr>
          <w:rFonts w:hint="eastAsia" w:ascii="宋体" w:hAnsi="宋体"/>
          <w:szCs w:val="21"/>
        </w:rPr>
        <w:t>19. 毫不动摇地巩固和发展公有制经济，毫不动摇地鼓励、支持和引导非公有制经济发展，使两者在社会主义现代化进程中相互促进、共同发展，是必须长期坚持的基本方针，是完善社会主义市场经济体制、发展中国特色社会主义的必然要求。要使公有制经济和非公有制经济在社会主义现代化进程中相互促进、共同发展，就必须保证：(    ) </w:t>
      </w:r>
    </w:p>
    <w:p>
      <w:pPr>
        <w:adjustRightInd w:val="0"/>
        <w:snapToGrid w:val="0"/>
        <w:spacing w:line="360" w:lineRule="auto"/>
        <w:rPr>
          <w:rFonts w:ascii="宋体" w:hAnsi="宋体"/>
          <w:szCs w:val="21"/>
        </w:rPr>
      </w:pPr>
      <w:r>
        <w:rPr>
          <w:rFonts w:hint="eastAsia" w:ascii="宋体" w:hAnsi="宋体"/>
          <w:szCs w:val="21"/>
        </w:rPr>
        <w:t>A．公有制经济和非公有制经济享有平等的市场竞争地位</w:t>
      </w:r>
    </w:p>
    <w:p>
      <w:pPr>
        <w:adjustRightInd w:val="0"/>
        <w:snapToGrid w:val="0"/>
        <w:spacing w:line="360" w:lineRule="auto"/>
        <w:rPr>
          <w:rFonts w:ascii="宋体" w:hAnsi="宋体"/>
          <w:szCs w:val="21"/>
        </w:rPr>
      </w:pPr>
      <w:r>
        <w:rPr>
          <w:rFonts w:hint="eastAsia" w:ascii="宋体" w:hAnsi="宋体"/>
          <w:szCs w:val="21"/>
        </w:rPr>
        <w:t>B．公有制经济和非公有制经济构成社会主义经济制度的基础 </w:t>
      </w:r>
    </w:p>
    <w:p>
      <w:pPr>
        <w:adjustRightInd w:val="0"/>
        <w:snapToGrid w:val="0"/>
        <w:spacing w:line="360" w:lineRule="auto"/>
        <w:rPr>
          <w:rFonts w:ascii="宋体" w:hAnsi="宋体"/>
          <w:szCs w:val="21"/>
        </w:rPr>
      </w:pPr>
      <w:r>
        <w:rPr>
          <w:rFonts w:hint="eastAsia" w:ascii="宋体" w:hAnsi="宋体"/>
          <w:szCs w:val="21"/>
        </w:rPr>
        <w:t>C．公有制经济的发展速度超过非公有制经济 </w:t>
      </w:r>
    </w:p>
    <w:p>
      <w:pPr>
        <w:adjustRightInd w:val="0"/>
        <w:snapToGrid w:val="0"/>
        <w:spacing w:line="360" w:lineRule="auto"/>
        <w:rPr>
          <w:rFonts w:ascii="宋体" w:hAnsi="宋体"/>
          <w:szCs w:val="21"/>
        </w:rPr>
      </w:pPr>
      <w:r>
        <w:rPr>
          <w:rFonts w:hint="eastAsia" w:ascii="宋体" w:hAnsi="宋体"/>
          <w:szCs w:val="21"/>
        </w:rPr>
        <w:t>D．非公有制经济的发展不受国家法律的约束</w:t>
      </w:r>
    </w:p>
    <w:p>
      <w:pPr>
        <w:adjustRightInd w:val="0"/>
        <w:snapToGrid w:val="0"/>
        <w:spacing w:line="360" w:lineRule="auto"/>
        <w:rPr>
          <w:rFonts w:ascii="宋体" w:hAnsi="宋体"/>
          <w:szCs w:val="21"/>
        </w:rPr>
      </w:pPr>
      <w:r>
        <w:rPr>
          <w:rFonts w:hint="eastAsia" w:ascii="宋体" w:hAnsi="宋体"/>
          <w:szCs w:val="21"/>
        </w:rPr>
        <w:t>20.</w:t>
      </w:r>
      <w:r>
        <w:rPr>
          <w:rFonts w:hint="eastAsia"/>
        </w:rPr>
        <w:t xml:space="preserve"> </w:t>
      </w:r>
      <w:r>
        <w:rPr>
          <w:rFonts w:hint="eastAsia" w:ascii="宋体" w:hAnsi="宋体"/>
          <w:szCs w:val="21"/>
        </w:rPr>
        <w:t>小张大学毕业后决定自主创业,经过紧张的筹备,他与几个朋友共同出资30万元人民币成立了一家公司。该公司 ：(    )</w:t>
      </w:r>
    </w:p>
    <w:p>
      <w:pPr>
        <w:adjustRightInd w:val="0"/>
        <w:snapToGrid w:val="0"/>
        <w:spacing w:line="360" w:lineRule="auto"/>
        <w:rPr>
          <w:rFonts w:ascii="宋体" w:hAnsi="宋体"/>
          <w:szCs w:val="21"/>
        </w:rPr>
      </w:pPr>
      <w:r>
        <w:rPr>
          <w:rFonts w:hint="eastAsia" w:ascii="宋体" w:hAnsi="宋体"/>
          <w:szCs w:val="21"/>
        </w:rPr>
        <w:t>①资本必须划分为等额股份   ②财务不必向全社会公开 </w:t>
      </w:r>
    </w:p>
    <w:p>
      <w:pPr>
        <w:adjustRightInd w:val="0"/>
        <w:snapToGrid w:val="0"/>
        <w:spacing w:line="360" w:lineRule="auto"/>
        <w:rPr>
          <w:rFonts w:ascii="宋体" w:hAnsi="宋体"/>
          <w:szCs w:val="21"/>
        </w:rPr>
      </w:pPr>
      <w:r>
        <w:rPr>
          <w:rFonts w:hint="eastAsia" w:ascii="宋体" w:hAnsi="宋体"/>
          <w:szCs w:val="21"/>
        </w:rPr>
        <w:t>③可以公开发行股票筹集资本 ④股东按出资比例行使表决权 </w:t>
      </w:r>
    </w:p>
    <w:p>
      <w:pPr>
        <w:adjustRightInd w:val="0"/>
        <w:snapToGrid w:val="0"/>
        <w:spacing w:line="360" w:lineRule="auto"/>
        <w:rPr>
          <w:rFonts w:ascii="宋体" w:hAnsi="宋体"/>
          <w:szCs w:val="21"/>
        </w:rPr>
      </w:pPr>
      <w:r>
        <w:rPr>
          <w:rFonts w:hint="eastAsia" w:ascii="宋体" w:hAnsi="宋体"/>
          <w:szCs w:val="21"/>
        </w:rPr>
        <w:t>A.①③ B.①④ C.②③ D.②④</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21.</w:t>
      </w:r>
      <w:r>
        <w:rPr>
          <w:rFonts w:hint="eastAsia" w:ascii="新宋体" w:hAnsi="新宋体" w:eastAsia="新宋体"/>
          <w:szCs w:val="21"/>
        </w:rPr>
        <w:t xml:space="preserve"> </w:t>
      </w:r>
      <w:r>
        <w:rPr>
          <w:rFonts w:hint="eastAsia" w:ascii="新宋体" w:hAnsi="新宋体" w:eastAsia="新宋体" w:cs="宋体"/>
          <w:kern w:val="0"/>
          <w:szCs w:val="21"/>
        </w:rPr>
        <w:t>我国国家领导人提出，推进国有企业改革，要有利于国有资本保值增值，有利于提高国有经济竞争力，有利于放大国有资本功能。下列对此观点理解正确的是</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①实现国有资本保值增值有利于促进国有企业可持续发展</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②提高国有经济竞争力需要巩固公有制的主体地位</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③放大国有资本功能能有效增强国有经济控制力和影响力</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④放大国有资本功能有利于各种所有制资本相互竞争和促进</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A.①③        B.①④        C.②③         D.②④</w:t>
      </w:r>
    </w:p>
    <w:p>
      <w:pPr>
        <w:adjustRightInd w:val="0"/>
        <w:snapToGrid w:val="0"/>
        <w:spacing w:line="360" w:lineRule="auto"/>
        <w:rPr>
          <w:rFonts w:ascii="宋体" w:hAnsi="宋体"/>
          <w:szCs w:val="21"/>
        </w:rPr>
      </w:pPr>
      <w:r>
        <w:rPr>
          <w:rFonts w:hint="eastAsia" w:ascii="宋体" w:hAnsi="宋体"/>
          <w:szCs w:val="21"/>
        </w:rPr>
        <w:t xml:space="preserve">22. </w:t>
      </w:r>
      <w:r>
        <w:rPr>
          <w:rFonts w:hint="eastAsia" w:ascii="宋体" w:hAnsi="宋体" w:cs="宋体"/>
          <w:kern w:val="0"/>
          <w:szCs w:val="21"/>
        </w:rPr>
        <w:t>2015年5月1日，《存款保险条例》正式实施。条例规定：存款保险实行限额偿付，最高偿付限额为人民币50万元。对存款保险理解正确的是</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①能降低储户投资风险，增加储户实际投资收益</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②增加了社会保险种类，提升了商业银行竞争力</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③属于商业型财产保险，有利于金融秩序的稳定</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④能增强商业银行信用，扩大商业银行基础业务</w:t>
      </w:r>
    </w:p>
    <w:p>
      <w:pPr>
        <w:widowControl/>
        <w:shd w:val="clear" w:color="auto" w:fill="FFFFFF"/>
        <w:adjustRightInd w:val="0"/>
        <w:snapToGrid w:val="0"/>
        <w:spacing w:line="360" w:lineRule="auto"/>
        <w:jc w:val="left"/>
        <w:rPr>
          <w:rFonts w:ascii="宋体" w:hAnsi="宋体" w:cs="宋体"/>
          <w:kern w:val="0"/>
          <w:szCs w:val="21"/>
        </w:rPr>
      </w:pPr>
      <w:r>
        <w:rPr>
          <w:rFonts w:hint="eastAsia" w:ascii="宋体" w:hAnsi="宋体" w:cs="宋体"/>
          <w:kern w:val="0"/>
          <w:szCs w:val="21"/>
        </w:rPr>
        <w:t>A.①②     B.①③     C.②④       D.③④</w:t>
      </w:r>
    </w:p>
    <w:p>
      <w:pPr>
        <w:adjustRightInd w:val="0"/>
        <w:snapToGrid w:val="0"/>
        <w:spacing w:line="360" w:lineRule="auto"/>
        <w:rPr>
          <w:rFonts w:ascii="宋体" w:hAnsi="宋体"/>
          <w:szCs w:val="21"/>
        </w:rPr>
      </w:pPr>
      <w:r>
        <w:rPr>
          <w:rFonts w:hint="eastAsia" w:ascii="宋体" w:hAnsi="宋体"/>
          <w:szCs w:val="21"/>
        </w:rPr>
        <w:t xml:space="preserve">23. </w:t>
      </w:r>
      <w:r>
        <w:rPr>
          <w:rFonts w:hint="eastAsia" w:ascii="宋体" w:hAnsi="宋体" w:cs="宋体"/>
          <w:kern w:val="0"/>
          <w:szCs w:val="21"/>
        </w:rPr>
        <w:t>某家庭有甲、乙两劳力，城镇化建设中，该家庭承包的6亩地以每年每亩1100元转包给一私营农业公司经营。当年该公司聘用甲在公司打工，月工资1200元；乙在一家中型国有企业工作，工资、薪金年收入30000元，当年乙专利技术转让所得为3000元。则该家庭当年按生产要素分配所得收入为</w:t>
      </w:r>
      <w:r>
        <w:rPr>
          <w:rFonts w:hint="eastAsia" w:ascii="宋体" w:hAnsi="宋体"/>
          <w:szCs w:val="21"/>
        </w:rPr>
        <w:t> ：(    )</w:t>
      </w:r>
    </w:p>
    <w:p>
      <w:pPr>
        <w:widowControl/>
        <w:shd w:val="clear" w:color="auto" w:fill="FFFFFF"/>
        <w:adjustRightInd w:val="0"/>
        <w:snapToGrid w:val="0"/>
        <w:spacing w:line="360" w:lineRule="auto"/>
        <w:jc w:val="left"/>
        <w:rPr>
          <w:kern w:val="0"/>
        </w:rPr>
      </w:pPr>
      <w:r>
        <w:rPr>
          <w:rFonts w:hint="eastAsia"/>
          <w:kern w:val="0"/>
        </w:rPr>
        <w:t>A.1.55万元   B.1.74万元      C.2.4万元   D.4.85万元</w:t>
      </w:r>
    </w:p>
    <w:p>
      <w:pPr>
        <w:widowControl/>
        <w:shd w:val="clear" w:color="auto" w:fill="FFFFFF"/>
        <w:adjustRightInd w:val="0"/>
        <w:snapToGrid w:val="0"/>
        <w:spacing w:line="360" w:lineRule="auto"/>
        <w:jc w:val="left"/>
        <w:rPr>
          <w:rFonts w:ascii="宋体" w:hAnsi="宋体"/>
          <w:szCs w:val="21"/>
        </w:rPr>
      </w:pPr>
      <w:r>
        <w:rPr>
          <w:rFonts w:hint="eastAsia" w:ascii="新宋体" w:hAnsi="新宋体" w:eastAsia="新宋体"/>
          <w:color w:val="323E32"/>
        </w:rPr>
        <w:t>24．2014年8月，某市政府清理出涉企权力5157项，废止了其中3301项，对停留的涉企权力向社会全部公开，并表示严肃查处涉企审批、受费中的违法违纪问题，这一做法的预期效果是：</w:t>
      </w:r>
      <w:r>
        <w:rPr>
          <w:rFonts w:hint="eastAsia" w:ascii="宋体" w:hAnsi="宋体"/>
          <w:szCs w:val="21"/>
        </w:rPr>
        <w:t>(    )</w:t>
      </w:r>
    </w:p>
    <w:p>
      <w:pPr>
        <w:widowControl/>
        <w:shd w:val="clear" w:color="auto" w:fill="FFFFFF"/>
        <w:adjustRightInd w:val="0"/>
        <w:snapToGrid w:val="0"/>
        <w:spacing w:line="360" w:lineRule="auto"/>
        <w:jc w:val="left"/>
        <w:rPr>
          <w:rFonts w:ascii="宋体" w:hAnsi="宋体"/>
          <w:szCs w:val="21"/>
        </w:rPr>
      </w:pPr>
      <w:r>
        <w:rPr>
          <w:rFonts w:hint="eastAsia" w:ascii="宋体" w:hAnsi="宋体"/>
          <w:szCs w:val="21"/>
        </w:rPr>
        <w:t>①政府对企业的监督与管理更有效率     ②“看得见的手”受到有力的制约</w:t>
      </w:r>
    </w:p>
    <w:p>
      <w:pPr>
        <w:widowControl/>
        <w:shd w:val="clear" w:color="auto" w:fill="FFFFFF"/>
        <w:adjustRightInd w:val="0"/>
        <w:snapToGrid w:val="0"/>
        <w:spacing w:line="360" w:lineRule="auto"/>
        <w:jc w:val="left"/>
        <w:rPr>
          <w:rFonts w:ascii="新宋体" w:hAnsi="新宋体" w:eastAsia="新宋体"/>
          <w:color w:val="323E32"/>
        </w:rPr>
      </w:pPr>
      <w:r>
        <w:rPr>
          <w:rFonts w:hint="eastAsia" w:ascii="宋体" w:hAnsi="宋体"/>
          <w:szCs w:val="21"/>
        </w:rPr>
        <w:t>③市场机制能更好的发挥资源配置的作用  ④企业的市场竞争力得到增强</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olor w:val="323E32"/>
        </w:rPr>
        <w:t xml:space="preserve">A.①②   </w:t>
      </w:r>
      <w:r>
        <w:rPr>
          <w:rStyle w:val="23"/>
          <w:rFonts w:hint="eastAsia" w:ascii="新宋体" w:hAnsi="新宋体" w:eastAsia="新宋体"/>
          <w:color w:val="323E32"/>
        </w:rPr>
        <w:t xml:space="preserve">  </w:t>
      </w:r>
      <w:r>
        <w:rPr>
          <w:rFonts w:hint="eastAsia" w:ascii="新宋体" w:hAnsi="新宋体" w:eastAsia="新宋体"/>
          <w:color w:val="323E32"/>
        </w:rPr>
        <w:t>B.①③</w:t>
      </w:r>
      <w:r>
        <w:rPr>
          <w:rStyle w:val="23"/>
          <w:rFonts w:hint="eastAsia" w:ascii="新宋体" w:hAnsi="新宋体" w:eastAsia="新宋体"/>
        </w:rPr>
        <w:t xml:space="preserve">      </w:t>
      </w:r>
      <w:r>
        <w:rPr>
          <w:rFonts w:hint="eastAsia" w:ascii="新宋体" w:hAnsi="新宋体" w:eastAsia="新宋体"/>
          <w:bCs/>
        </w:rPr>
        <w:t>C.②③</w:t>
      </w:r>
      <w:r>
        <w:rPr>
          <w:rStyle w:val="23"/>
          <w:rFonts w:hint="eastAsia" w:ascii="新宋体" w:hAnsi="新宋体" w:eastAsia="新宋体"/>
        </w:rPr>
        <w:t xml:space="preserve">       </w:t>
      </w:r>
      <w:r>
        <w:rPr>
          <w:rFonts w:hint="eastAsia" w:ascii="新宋体" w:hAnsi="新宋体" w:eastAsia="新宋体"/>
          <w:color w:val="323E32"/>
        </w:rPr>
        <w:t>D.③④</w:t>
      </w:r>
    </w:p>
    <w:p>
      <w:pPr>
        <w:adjustRightInd w:val="0"/>
        <w:snapToGrid w:val="0"/>
        <w:spacing w:line="360" w:lineRule="auto"/>
        <w:rPr>
          <w:rFonts w:ascii="宋体" w:hAnsi="宋体"/>
          <w:szCs w:val="21"/>
        </w:rPr>
      </w:pPr>
      <w:r>
        <w:rPr>
          <w:rFonts w:hint="eastAsia" w:ascii="宋体" w:hAnsi="宋体"/>
          <w:szCs w:val="21"/>
        </w:rPr>
        <w:t>25.</w:t>
      </w:r>
      <w:r>
        <w:rPr>
          <w:rFonts w:hint="eastAsia"/>
        </w:rPr>
        <w:t xml:space="preserve"> </w:t>
      </w:r>
      <w:r>
        <w:rPr>
          <w:rFonts w:hint="eastAsia" w:ascii="宋体" w:hAnsi="宋体"/>
          <w:szCs w:val="21"/>
        </w:rPr>
        <w:t>漫画《菜贱伤农》中的农民哀叹道：“为何受伤的总是我们！”这体现的经济生活道理有:</w:t>
      </w:r>
    </w:p>
    <w:p>
      <w:pPr>
        <w:widowControl/>
        <w:adjustRightInd w:val="0"/>
        <w:snapToGrid w:val="0"/>
        <w:spacing w:line="360" w:lineRule="auto"/>
        <w:jc w:val="left"/>
        <w:rPr>
          <w:rFonts w:ascii="宋体" w:hAnsi="宋体" w:cs="宋体"/>
          <w:kern w:val="0"/>
          <w:sz w:val="24"/>
        </w:rPr>
      </w:pPr>
      <w:r>
        <w:rPr>
          <w:rFonts w:ascii="宋体" w:hAnsi="宋体" w:cs="宋体"/>
          <w:kern w:val="0"/>
          <w:sz w:val="24"/>
        </w:rPr>
        <w:pict>
          <v:shape id="_x0000_i1026" o:spt="75" alt=" " type="#_x0000_t75" style="height:117pt;width:192pt;" filled="f" o:preferrelative="t" stroked="f" coordsize="21600,21600">
            <v:path/>
            <v:fill on="f" focussize="0,0"/>
            <v:stroke on="f" joinstyle="miter"/>
            <v:imagedata r:id="rId8" r:href="rId9" o:title=""/>
            <o:lock v:ext="edit" aspectratio="t"/>
            <w10:wrap type="none"/>
            <w10:anchorlock/>
          </v:shape>
        </w:pict>
      </w:r>
    </w:p>
    <w:p>
      <w:pPr>
        <w:numPr>
          <w:ilvl w:val="0"/>
          <w:numId w:val="2"/>
        </w:numPr>
        <w:adjustRightInd w:val="0"/>
        <w:snapToGrid w:val="0"/>
        <w:spacing w:line="360" w:lineRule="auto"/>
        <w:rPr>
          <w:rFonts w:ascii="宋体" w:hAnsi="宋体"/>
          <w:szCs w:val="21"/>
        </w:rPr>
      </w:pPr>
      <w:r>
        <w:rPr>
          <w:rFonts w:hint="eastAsia" w:ascii="宋体" w:hAnsi="宋体"/>
          <w:szCs w:val="21"/>
        </w:rPr>
        <w:t>市场调节具有自发性缺陷 </w:t>
      </w:r>
    </w:p>
    <w:p>
      <w:pPr>
        <w:adjustRightInd w:val="0"/>
        <w:snapToGrid w:val="0"/>
        <w:spacing w:line="360" w:lineRule="auto"/>
        <w:rPr>
          <w:rFonts w:ascii="宋体" w:hAnsi="宋体"/>
          <w:szCs w:val="21"/>
        </w:rPr>
      </w:pPr>
      <w:r>
        <w:rPr>
          <w:rFonts w:hint="eastAsia" w:ascii="宋体" w:hAnsi="宋体"/>
          <w:szCs w:val="21"/>
        </w:rPr>
        <w:t>②政府应履行公共服务职能，调动农民的生产积极性 </w:t>
      </w:r>
    </w:p>
    <w:p>
      <w:pPr>
        <w:adjustRightInd w:val="0"/>
        <w:snapToGrid w:val="0"/>
        <w:spacing w:line="360" w:lineRule="auto"/>
        <w:rPr>
          <w:rFonts w:ascii="宋体" w:hAnsi="宋体"/>
          <w:szCs w:val="21"/>
        </w:rPr>
      </w:pPr>
      <w:r>
        <w:rPr>
          <w:rFonts w:hint="eastAsia" w:ascii="宋体" w:hAnsi="宋体"/>
          <w:szCs w:val="21"/>
        </w:rPr>
        <w:t>③市场调节具有盲目性，应引导农民掌握市场信息 </w:t>
      </w:r>
    </w:p>
    <w:p>
      <w:pPr>
        <w:adjustRightInd w:val="0"/>
        <w:snapToGrid w:val="0"/>
        <w:spacing w:line="360" w:lineRule="auto"/>
        <w:rPr>
          <w:rFonts w:ascii="宋体" w:hAnsi="宋体"/>
          <w:szCs w:val="21"/>
        </w:rPr>
      </w:pPr>
      <w:r>
        <w:rPr>
          <w:rFonts w:hint="eastAsia" w:ascii="宋体" w:hAnsi="宋体"/>
          <w:szCs w:val="21"/>
        </w:rPr>
        <w:t>④价格变动影响生产，农民需要增强风险意识</w:t>
      </w:r>
    </w:p>
    <w:p>
      <w:pPr>
        <w:adjustRightInd w:val="0"/>
        <w:snapToGrid w:val="0"/>
        <w:spacing w:line="360" w:lineRule="auto"/>
        <w:rPr>
          <w:rFonts w:ascii="宋体" w:hAnsi="宋体"/>
          <w:szCs w:val="21"/>
        </w:rPr>
      </w:pPr>
      <w:r>
        <w:rPr>
          <w:rFonts w:hint="eastAsia" w:ascii="宋体" w:hAnsi="宋体"/>
          <w:szCs w:val="21"/>
        </w:rPr>
        <w:t>A．①②    B．③④    C．②④    D．①③</w:t>
      </w:r>
    </w:p>
    <w:p>
      <w:pPr>
        <w:adjustRightInd w:val="0"/>
        <w:snapToGrid w:val="0"/>
        <w:spacing w:line="360" w:lineRule="auto"/>
        <w:rPr>
          <w:rFonts w:ascii="宋体" w:hAnsi="宋体"/>
          <w:szCs w:val="21"/>
        </w:rPr>
      </w:pPr>
      <w:r>
        <w:rPr>
          <w:rFonts w:hint="eastAsia" w:ascii="宋体" w:hAnsi="宋体"/>
          <w:szCs w:val="21"/>
        </w:rPr>
        <w:t>26.近年来，“限”已成为热词，楼市“限”价、“限”购，电视节目“限”播、“限”娱；温室气体“限”制排放„„从经济生活的角度看，“限”是 ：(    ) </w:t>
      </w:r>
    </w:p>
    <w:p>
      <w:pPr>
        <w:adjustRightInd w:val="0"/>
        <w:snapToGrid w:val="0"/>
        <w:spacing w:line="360" w:lineRule="auto"/>
        <w:rPr>
          <w:rFonts w:ascii="宋体" w:hAnsi="宋体"/>
          <w:szCs w:val="21"/>
        </w:rPr>
      </w:pPr>
      <w:r>
        <w:rPr>
          <w:rFonts w:hint="eastAsia" w:ascii="宋体" w:hAnsi="宋体"/>
          <w:szCs w:val="21"/>
        </w:rPr>
        <w:t>①发挥宏观调控在部分资源配置中的决定性作用 </w:t>
      </w:r>
    </w:p>
    <w:p>
      <w:pPr>
        <w:adjustRightInd w:val="0"/>
        <w:snapToGrid w:val="0"/>
        <w:spacing w:line="360" w:lineRule="auto"/>
        <w:rPr>
          <w:rFonts w:ascii="宋体" w:hAnsi="宋体"/>
          <w:szCs w:val="21"/>
        </w:rPr>
      </w:pPr>
      <w:r>
        <w:rPr>
          <w:rFonts w:hint="eastAsia" w:ascii="宋体" w:hAnsi="宋体"/>
          <w:szCs w:val="21"/>
        </w:rPr>
        <w:t>②为了促进经济平稳健康运行的需要  </w:t>
      </w:r>
    </w:p>
    <w:p>
      <w:pPr>
        <w:adjustRightInd w:val="0"/>
        <w:snapToGrid w:val="0"/>
        <w:spacing w:line="360" w:lineRule="auto"/>
        <w:rPr>
          <w:rFonts w:ascii="宋体" w:hAnsi="宋体"/>
          <w:szCs w:val="21"/>
        </w:rPr>
      </w:pPr>
      <w:r>
        <w:rPr>
          <w:rFonts w:hint="eastAsia" w:ascii="宋体" w:hAnsi="宋体"/>
          <w:szCs w:val="21"/>
        </w:rPr>
        <w:t>③运用法律手段实施宏观调控 </w:t>
      </w:r>
    </w:p>
    <w:p>
      <w:pPr>
        <w:adjustRightInd w:val="0"/>
        <w:snapToGrid w:val="0"/>
        <w:spacing w:line="360" w:lineRule="auto"/>
        <w:rPr>
          <w:rFonts w:ascii="宋体" w:hAnsi="宋体"/>
          <w:szCs w:val="21"/>
        </w:rPr>
      </w:pPr>
      <w:r>
        <w:rPr>
          <w:rFonts w:hint="eastAsia" w:ascii="宋体" w:hAnsi="宋体"/>
          <w:szCs w:val="21"/>
        </w:rPr>
        <w:t>④因为市场调节具有自身的弱点和缺陷 </w:t>
      </w:r>
    </w:p>
    <w:p>
      <w:pPr>
        <w:adjustRightInd w:val="0"/>
        <w:snapToGrid w:val="0"/>
        <w:spacing w:line="360" w:lineRule="auto"/>
        <w:rPr>
          <w:rFonts w:ascii="宋体" w:hAnsi="宋体"/>
          <w:szCs w:val="21"/>
        </w:rPr>
      </w:pPr>
      <w:r>
        <w:rPr>
          <w:rFonts w:hint="eastAsia" w:ascii="宋体" w:hAnsi="宋体"/>
          <w:szCs w:val="21"/>
        </w:rPr>
        <w:t>A．①④    B．②③    C．②④    D．①② </w:t>
      </w:r>
    </w:p>
    <w:p>
      <w:pPr>
        <w:adjustRightInd w:val="0"/>
        <w:snapToGrid w:val="0"/>
        <w:spacing w:line="360" w:lineRule="auto"/>
        <w:rPr>
          <w:rFonts w:ascii="宋体" w:hAnsi="宋体"/>
          <w:szCs w:val="21"/>
        </w:rPr>
      </w:pPr>
      <w:r>
        <w:rPr>
          <w:rFonts w:hint="eastAsia" w:ascii="宋体" w:hAnsi="宋体"/>
          <w:szCs w:val="21"/>
        </w:rPr>
        <w:t>27.</w:t>
      </w:r>
      <w:r>
        <w:rPr>
          <w:rFonts w:hint="eastAsia"/>
        </w:rPr>
        <w:t xml:space="preserve"> </w:t>
      </w:r>
      <w:r>
        <w:rPr>
          <w:rFonts w:hint="eastAsia" w:ascii="宋体" w:hAnsi="宋体"/>
          <w:szCs w:val="21"/>
        </w:rPr>
        <w:t>《中共中央关于全面深化改革若干重大问题的决定》指出，经济体制改革是全面深化改革的重点，核心问题是处理好政府和市场的关系，使市场在资源配置中起决定性作用和更好发挥政府作用。使市场在资源配置中起决定性作用就要高度重视 ：(    ) </w:t>
      </w:r>
    </w:p>
    <w:p>
      <w:pPr>
        <w:adjustRightInd w:val="0"/>
        <w:snapToGrid w:val="0"/>
        <w:spacing w:line="360" w:lineRule="auto"/>
        <w:rPr>
          <w:rFonts w:ascii="宋体" w:hAnsi="宋体"/>
          <w:szCs w:val="21"/>
        </w:rPr>
      </w:pPr>
      <w:r>
        <w:rPr>
          <w:rFonts w:hint="eastAsia" w:ascii="宋体" w:hAnsi="宋体"/>
          <w:szCs w:val="21"/>
        </w:rPr>
        <w:t>①价格信号的变化 ②经济手段的运用 ③税收政策的调整 ④供求关系的变化 </w:t>
      </w:r>
    </w:p>
    <w:p>
      <w:pPr>
        <w:adjustRightInd w:val="0"/>
        <w:snapToGrid w:val="0"/>
        <w:spacing w:line="360" w:lineRule="auto"/>
        <w:rPr>
          <w:rFonts w:ascii="宋体" w:hAnsi="宋体"/>
          <w:szCs w:val="21"/>
        </w:rPr>
      </w:pPr>
      <w:r>
        <w:rPr>
          <w:rFonts w:hint="eastAsia" w:ascii="宋体" w:hAnsi="宋体"/>
          <w:szCs w:val="21"/>
        </w:rPr>
        <w:t>A．①②    B．②③    C．①④    D．③④</w:t>
      </w:r>
    </w:p>
    <w:p>
      <w:pPr>
        <w:adjustRightInd w:val="0"/>
        <w:snapToGrid w:val="0"/>
        <w:spacing w:line="360" w:lineRule="auto"/>
        <w:rPr>
          <w:rFonts w:ascii="宋体" w:hAnsi="宋体"/>
          <w:szCs w:val="21"/>
        </w:rPr>
      </w:pPr>
      <w:r>
        <w:rPr>
          <w:rFonts w:hint="eastAsia" w:ascii="宋体" w:hAnsi="宋体"/>
          <w:szCs w:val="21"/>
        </w:rPr>
        <w:t>28. 长期以来，对经济快速增长的片面追求已威胁到人类的生存环境，进而损害到人类自身的利益。在建的中新天津生态城以修复、保护生态为主旨，探索人类生存发展的新模式。生态城建成后，将实现可再生能源广泛利用、节水生活化、城区无垃圾等目标。这体现了科学发展观中的  ：(    ) </w:t>
      </w:r>
    </w:p>
    <w:p>
      <w:pPr>
        <w:adjustRightInd w:val="0"/>
        <w:snapToGrid w:val="0"/>
        <w:spacing w:line="360" w:lineRule="auto"/>
        <w:rPr>
          <w:rFonts w:ascii="宋体" w:hAnsi="宋体"/>
          <w:szCs w:val="21"/>
        </w:rPr>
      </w:pPr>
      <w:r>
        <w:rPr>
          <w:rFonts w:hint="eastAsia" w:ascii="宋体" w:hAnsi="宋体"/>
          <w:szCs w:val="21"/>
        </w:rPr>
        <w:t> ①以人为本      ②快速发展       ③协调发展       ④可持续发展</w:t>
      </w:r>
    </w:p>
    <w:p>
      <w:pPr>
        <w:adjustRightInd w:val="0"/>
        <w:snapToGrid w:val="0"/>
        <w:spacing w:line="360" w:lineRule="auto"/>
        <w:rPr>
          <w:rFonts w:ascii="宋体" w:hAnsi="宋体"/>
          <w:szCs w:val="21"/>
        </w:rPr>
      </w:pPr>
      <w:r>
        <w:rPr>
          <w:rFonts w:hint="eastAsia" w:ascii="宋体" w:hAnsi="宋体"/>
          <w:szCs w:val="21"/>
        </w:rPr>
        <w:t> A.①②③         B. ①②④        C. ①③④          D.②③④.</w:t>
      </w:r>
    </w:p>
    <w:p>
      <w:pPr>
        <w:adjustRightInd w:val="0"/>
        <w:snapToGrid w:val="0"/>
        <w:spacing w:line="360" w:lineRule="auto"/>
        <w:rPr>
          <w:rFonts w:ascii="宋体" w:hAnsi="宋体"/>
          <w:szCs w:val="21"/>
        </w:rPr>
      </w:pPr>
      <w:r>
        <w:rPr>
          <w:rFonts w:hint="eastAsia" w:ascii="宋体" w:hAnsi="宋体"/>
          <w:szCs w:val="21"/>
        </w:rPr>
        <w:t>29.</w:t>
      </w:r>
      <w:r>
        <w:rPr>
          <w:rFonts w:hint="eastAsia" w:ascii="新宋体" w:hAnsi="新宋体" w:eastAsia="新宋体" w:cs="宋体"/>
          <w:kern w:val="0"/>
          <w:szCs w:val="21"/>
        </w:rPr>
        <w:t>为了支持“新丝绸之路经济带”和“21世纪海上丝绸之路”沿线国家基础设施建设，实现亚洲地区的互联互通，中国使用一部分外汇储备资金成立亚洲基础设施投资银行和丝路基金。该项战略有利于</w:t>
      </w:r>
      <w:r>
        <w:rPr>
          <w:rFonts w:hint="eastAsia" w:ascii="宋体" w:hAnsi="宋体"/>
          <w:szCs w:val="21"/>
        </w:rPr>
        <w:t> ：(    )</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①打破贸易壁垒，实现资源合理配置     ②盘活外汇储备，规避美元贬值风险</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③提升开放水平，创新对外投资方式     ④扩大消费需求，转变经济发展方式</w:t>
      </w:r>
    </w:p>
    <w:p>
      <w:pPr>
        <w:widowControl/>
        <w:shd w:val="clear" w:color="auto" w:fill="FFFFFF"/>
        <w:adjustRightInd w:val="0"/>
        <w:snapToGrid w:val="0"/>
        <w:spacing w:line="360" w:lineRule="auto"/>
        <w:jc w:val="left"/>
        <w:rPr>
          <w:rFonts w:ascii="宋体" w:hAnsi="宋体" w:cs="宋体"/>
          <w:kern w:val="0"/>
          <w:szCs w:val="21"/>
        </w:rPr>
      </w:pPr>
      <w:r>
        <w:rPr>
          <w:rFonts w:hint="eastAsia" w:ascii="新宋体" w:hAnsi="新宋体" w:eastAsia="新宋体" w:cs="宋体"/>
          <w:kern w:val="0"/>
          <w:szCs w:val="21"/>
        </w:rPr>
        <w:t>A.①②        B.①④       C.②③       D.③④</w:t>
      </w:r>
    </w:p>
    <w:p>
      <w:pPr>
        <w:adjustRightInd w:val="0"/>
        <w:snapToGrid w:val="0"/>
        <w:spacing w:line="360" w:lineRule="auto"/>
        <w:rPr>
          <w:rFonts w:ascii="宋体" w:hAnsi="宋体"/>
          <w:szCs w:val="21"/>
        </w:rPr>
      </w:pPr>
      <w:r>
        <w:rPr>
          <w:rFonts w:hint="eastAsia" w:ascii="宋体" w:hAnsi="宋体"/>
          <w:szCs w:val="21"/>
        </w:rPr>
        <w:t>30. 在改革开放前，我国珠江三角洲是一个经济落后的地区。如今，这里已成为举世闻名的现代化制造中心。珠江三角洲的经济发展，在很大程度上是因为它抓住了经济全球化机遇，充分发挥了本地区的优势。这表明经济全球化：(    ) </w:t>
      </w:r>
    </w:p>
    <w:p>
      <w:pPr>
        <w:adjustRightInd w:val="0"/>
        <w:snapToGrid w:val="0"/>
        <w:spacing w:line="360" w:lineRule="auto"/>
        <w:rPr>
          <w:rFonts w:ascii="宋体" w:hAnsi="宋体"/>
          <w:szCs w:val="21"/>
        </w:rPr>
      </w:pPr>
      <w:r>
        <w:rPr>
          <w:rFonts w:hint="eastAsia" w:ascii="宋体" w:hAnsi="宋体"/>
          <w:szCs w:val="21"/>
        </w:rPr>
        <w:t>①促进了生产要素在全球范围内的流动、国际分工水平的提高 </w:t>
      </w:r>
    </w:p>
    <w:p>
      <w:pPr>
        <w:adjustRightInd w:val="0"/>
        <w:snapToGrid w:val="0"/>
        <w:spacing w:line="360" w:lineRule="auto"/>
        <w:rPr>
          <w:rFonts w:ascii="宋体" w:hAnsi="宋体"/>
          <w:szCs w:val="21"/>
        </w:rPr>
      </w:pPr>
      <w:r>
        <w:rPr>
          <w:rFonts w:hint="eastAsia" w:ascii="宋体" w:hAnsi="宋体"/>
          <w:szCs w:val="21"/>
        </w:rPr>
        <w:t>②推动了世界范围内资源配置效率的提高、各国生产力的发展 </w:t>
      </w:r>
    </w:p>
    <w:p>
      <w:pPr>
        <w:adjustRightInd w:val="0"/>
        <w:snapToGrid w:val="0"/>
        <w:spacing w:line="360" w:lineRule="auto"/>
        <w:rPr>
          <w:rFonts w:ascii="宋体" w:hAnsi="宋体"/>
          <w:szCs w:val="21"/>
        </w:rPr>
      </w:pPr>
      <w:r>
        <w:rPr>
          <w:rFonts w:hint="eastAsia" w:ascii="宋体" w:hAnsi="宋体"/>
          <w:szCs w:val="21"/>
        </w:rPr>
        <w:t>③使我国成为最大的受益者  </w:t>
      </w:r>
    </w:p>
    <w:p>
      <w:pPr>
        <w:adjustRightInd w:val="0"/>
        <w:snapToGrid w:val="0"/>
        <w:spacing w:line="360" w:lineRule="auto"/>
        <w:rPr>
          <w:rFonts w:ascii="宋体" w:hAnsi="宋体"/>
          <w:szCs w:val="21"/>
        </w:rPr>
      </w:pPr>
      <w:r>
        <w:rPr>
          <w:rFonts w:hint="eastAsia" w:ascii="宋体" w:hAnsi="宋体"/>
          <w:szCs w:val="21"/>
        </w:rPr>
        <w:t>④对发展中国家的经济安全构成极大威胁 </w:t>
      </w:r>
    </w:p>
    <w:p>
      <w:pPr>
        <w:adjustRightInd w:val="0"/>
        <w:snapToGrid w:val="0"/>
        <w:spacing w:line="360" w:lineRule="auto"/>
        <w:rPr>
          <w:rFonts w:ascii="宋体" w:hAnsi="宋体"/>
          <w:szCs w:val="21"/>
        </w:rPr>
      </w:pPr>
      <w:r>
        <w:rPr>
          <w:rFonts w:hint="eastAsia" w:ascii="宋体" w:hAnsi="宋体"/>
          <w:szCs w:val="21"/>
        </w:rPr>
        <w:t>A．①②       B．③④      C．①②③   D．①②③④</w:t>
      </w:r>
    </w:p>
    <w:p>
      <w:pPr>
        <w:pStyle w:val="6"/>
        <w:shd w:val="clear" w:color="auto" w:fill="FFFFFF"/>
        <w:spacing w:before="0" w:beforeAutospacing="0" w:after="150" w:afterAutospacing="0" w:line="375" w:lineRule="atLeast"/>
        <w:rPr>
          <w:rFonts w:ascii="Arial" w:hAnsi="Arial" w:cs="Arial"/>
          <w:color w:val="333333"/>
          <w:sz w:val="21"/>
          <w:szCs w:val="21"/>
        </w:rPr>
      </w:pPr>
    </w:p>
    <w:p>
      <w:pPr>
        <w:adjustRightInd w:val="0"/>
        <w:snapToGrid w:val="0"/>
        <w:spacing w:line="360" w:lineRule="auto"/>
        <w:rPr>
          <w:b/>
          <w:sz w:val="24"/>
        </w:rPr>
      </w:pPr>
      <w:r>
        <w:rPr>
          <w:rFonts w:hint="eastAsia"/>
          <w:b/>
          <w:sz w:val="24"/>
        </w:rPr>
        <w:t>二、非选择题（四题，共40分）</w:t>
      </w:r>
    </w:p>
    <w:p>
      <w:pPr>
        <w:pStyle w:val="6"/>
        <w:shd w:val="clear" w:color="auto" w:fill="FFFFFF"/>
        <w:adjustRightInd w:val="0"/>
        <w:snapToGrid w:val="0"/>
        <w:spacing w:before="0" w:beforeAutospacing="0" w:after="0" w:afterAutospacing="0" w:line="360" w:lineRule="auto"/>
        <w:rPr>
          <w:rFonts w:ascii="Arial" w:hAnsi="Arial" w:cs="Arial"/>
          <w:sz w:val="21"/>
          <w:szCs w:val="21"/>
        </w:rPr>
      </w:pPr>
    </w:p>
    <w:p>
      <w:pPr>
        <w:pStyle w:val="6"/>
        <w:shd w:val="clear" w:color="auto" w:fill="FFFFFF"/>
        <w:adjustRightInd w:val="0"/>
        <w:snapToGrid w:val="0"/>
        <w:spacing w:before="0" w:beforeAutospacing="0" w:after="0" w:afterAutospacing="0" w:line="360" w:lineRule="auto"/>
        <w:rPr>
          <w:sz w:val="21"/>
          <w:szCs w:val="21"/>
        </w:rPr>
      </w:pPr>
      <w:r>
        <w:rPr>
          <w:rFonts w:hint="eastAsia" w:ascii="Arial" w:hAnsi="Arial" w:cs="Arial"/>
          <w:sz w:val="21"/>
          <w:szCs w:val="21"/>
        </w:rPr>
        <w:t>31.</w:t>
      </w:r>
      <w:r>
        <w:rPr>
          <w:rFonts w:hint="eastAsia"/>
          <w:sz w:val="21"/>
          <w:szCs w:val="21"/>
        </w:rPr>
        <w:t xml:space="preserve"> 夏季本应是猪肉销售淡季，肉价通常会下降，但今年却一反常态，多地猪肉价格强劲反弹，创下两年内新高。据调查，近两年，由于猪肉价格持续低迷，养猪农户基本上无利可图，养猪农户大大减少；由于生物能源的发展，玉米等一些粮食价格一路看涨，猪饲料的价格也就跟着上涨。专家认为，此次猪肉价格上涨是价格连续下跌后的理性回归，由于价格上涨，养殖户在利益的驱使下会扩大生产规模，肉价不可能出现过度上涨，这正是市场这只无形之手调节的结果。 </w:t>
      </w:r>
    </w:p>
    <w:p>
      <w:pPr>
        <w:pStyle w:val="6"/>
        <w:shd w:val="clear" w:color="auto" w:fill="FFFFFF"/>
        <w:adjustRightInd w:val="0"/>
        <w:snapToGrid w:val="0"/>
        <w:spacing w:before="0" w:beforeAutospacing="0" w:after="0" w:afterAutospacing="0" w:line="360" w:lineRule="auto"/>
        <w:ind w:firstLine="480"/>
        <w:rPr>
          <w:sz w:val="21"/>
          <w:szCs w:val="21"/>
        </w:rPr>
      </w:pPr>
      <w:r>
        <w:rPr>
          <w:rFonts w:hint="eastAsia"/>
          <w:sz w:val="21"/>
          <w:szCs w:val="21"/>
        </w:rPr>
        <w:t>问题：依据材料，运用“多变的价格”的知识，分析材料体现的经济道理。（8分） </w:t>
      </w:r>
    </w:p>
    <w:p>
      <w:pPr>
        <w:pStyle w:val="2"/>
        <w:snapToGrid w:val="0"/>
        <w:spacing w:line="360" w:lineRule="auto"/>
        <w:rPr>
          <w:rFonts w:ascii="Arial" w:hAnsi="Arial" w:cs="Arial"/>
        </w:rPr>
      </w:pPr>
    </w:p>
    <w:p>
      <w:pPr>
        <w:pStyle w:val="2"/>
        <w:snapToGrid w:val="0"/>
        <w:spacing w:line="360" w:lineRule="auto"/>
      </w:pPr>
      <w:r>
        <w:rPr>
          <w:rFonts w:hint="eastAsia" w:ascii="Arial" w:hAnsi="Arial" w:cs="Arial"/>
        </w:rPr>
        <w:t>32.</w:t>
      </w:r>
      <w:r>
        <w:t xml:space="preserve"> </w:t>
      </w:r>
      <w:r>
        <w:rPr>
          <w:rFonts w:ascii="Arial" w:hAnsi="Arial" w:cs="Arial"/>
        </w:rPr>
        <w:t>(</w:t>
      </w:r>
      <w:r>
        <w:rPr>
          <w:rFonts w:hint="eastAsia" w:ascii="Arial" w:hAnsi="Arial" w:cs="Arial"/>
        </w:rPr>
        <w:t>8</w:t>
      </w:r>
      <w:r>
        <w:rPr>
          <w:rFonts w:ascii="Arial" w:hAnsi="Arial" w:cs="Arial"/>
        </w:rPr>
        <w:t>分)</w:t>
      </w:r>
      <w:r>
        <w:t>H剧团是一家国有经营性文化单位。在加快文化体制改革方针的指引下，H剧团结合自身发展于2010年改制为演艺有限责任公司。经过6年的努力，该演艺公司获得了良好的经济效益和社会效益。其改制前后的对比如下表。</w:t>
      </w:r>
    </w:p>
    <w:p>
      <w:pPr>
        <w:pStyle w:val="2"/>
        <w:snapToGrid w:val="0"/>
        <w:spacing w:line="360" w:lineRule="auto"/>
        <w:rPr>
          <w:rFonts w:ascii="Times New Roman" w:hAnsi="Times New Roman" w:cs="Times New Roman"/>
        </w:rPr>
      </w:pPr>
    </w:p>
    <w:tbl>
      <w:tblPr>
        <w:tblStyle w:val="8"/>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6"/>
        <w:gridCol w:w="295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项目</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改制前</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改制后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资金来源</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财政拨款</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自负盈</w:t>
            </w:r>
            <w:r>
              <w:rPr>
                <w:rFonts w:hint="eastAsia" w:ascii="Times New Roman" w:hAnsi="Times New Roman" w:cs="Times New Roman"/>
              </w:rPr>
              <w:t>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组织结构</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团长负责制</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股东会、董事会和监事会领导下的总经理负责制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分配制度</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按职称、工龄分配</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按贡献大小分配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相关职能部门</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演出部、后勤保障部</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创作部、演出部、营销部、后勤保障部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演出机制</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政府采购，服务于政府等机关团体；年均5～7场次</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市场化营销、面向社会提供菜单式服务；年均100多场次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5" w:hRule="atLeast"/>
          <w:jc w:val="center"/>
        </w:trPr>
        <w:tc>
          <w:tcPr>
            <w:tcW w:w="2706"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经济效</w:t>
            </w:r>
          </w:p>
          <w:p>
            <w:pPr>
              <w:pStyle w:val="2"/>
              <w:snapToGrid w:val="0"/>
              <w:spacing w:line="240" w:lineRule="atLeast"/>
              <w:jc w:val="center"/>
              <w:rPr>
                <w:rFonts w:ascii="Times New Roman" w:hAnsi="Times New Roman" w:cs="Times New Roman"/>
              </w:rPr>
            </w:pPr>
            <w:r>
              <w:rPr>
                <w:rFonts w:ascii="Times New Roman" w:hAnsi="Times New Roman" w:cs="Times New Roman"/>
              </w:rPr>
              <w:t>益与社</w:t>
            </w:r>
          </w:p>
          <w:p>
            <w:pPr>
              <w:pStyle w:val="2"/>
              <w:snapToGrid w:val="0"/>
              <w:spacing w:line="240" w:lineRule="atLeast"/>
              <w:jc w:val="center"/>
              <w:rPr>
                <w:rFonts w:ascii="Times New Roman" w:hAnsi="Times New Roman" w:cs="Times New Roman"/>
              </w:rPr>
            </w:pPr>
            <w:r>
              <w:rPr>
                <w:rFonts w:ascii="Times New Roman" w:hAnsi="Times New Roman" w:cs="Times New Roman"/>
              </w:rPr>
              <w:t>会影响</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剧团发展缓慢、演职员收入低；以传统节目为主，节目数量少、获奖少</w:t>
            </w:r>
          </w:p>
        </w:tc>
        <w:tc>
          <w:tcPr>
            <w:tcW w:w="2955" w:type="dxa"/>
            <w:shd w:val="clear" w:color="auto" w:fill="auto"/>
            <w:vAlign w:val="center"/>
          </w:tcPr>
          <w:p>
            <w:pPr>
              <w:pStyle w:val="2"/>
              <w:snapToGrid w:val="0"/>
              <w:spacing w:line="240" w:lineRule="atLeast"/>
              <w:jc w:val="center"/>
              <w:rPr>
                <w:rFonts w:ascii="Times New Roman" w:hAnsi="Times New Roman" w:cs="Times New Roman"/>
              </w:rPr>
            </w:pPr>
            <w:r>
              <w:rPr>
                <w:rFonts w:ascii="Times New Roman" w:hAnsi="Times New Roman" w:cs="Times New Roman"/>
              </w:rPr>
              <w:t>公司快速发展、演职员</w:t>
            </w:r>
            <w:r>
              <w:rPr>
                <w:rFonts w:hint="eastAsia" w:ascii="Times New Roman" w:hAnsi="Times New Roman" w:cs="Times New Roman"/>
              </w:rPr>
              <w:t>收入大幅增长；传统节目得以保留，反映社会发展、群众喜闻乐见的新节目不断推出，多个节目获奖</w:t>
            </w:r>
          </w:p>
        </w:tc>
      </w:tr>
    </w:tbl>
    <w:p>
      <w:pPr>
        <w:pStyle w:val="2"/>
        <w:spacing w:line="360" w:lineRule="auto"/>
        <w:ind w:firstLine="630" w:firstLineChars="300"/>
        <w:rPr>
          <w:rFonts w:ascii="Times New Roman" w:hAnsi="Times New Roman" w:cs="Times New Roman"/>
        </w:rPr>
      </w:pPr>
    </w:p>
    <w:p>
      <w:pPr>
        <w:pStyle w:val="2"/>
        <w:spacing w:line="360" w:lineRule="auto"/>
        <w:ind w:firstLine="630" w:firstLineChars="300"/>
        <w:rPr>
          <w:rFonts w:ascii="Times New Roman" w:hAnsi="Times New Roman" w:cs="Times New Roman"/>
        </w:rPr>
      </w:pPr>
      <w:r>
        <w:rPr>
          <w:rFonts w:hint="eastAsia"/>
        </w:rPr>
        <w:t>问题：</w:t>
      </w:r>
      <w:r>
        <w:t>结合材料二和所学知识，分析该演艺公司取得成功的经济原因。</w:t>
      </w:r>
    </w:p>
    <w:p>
      <w:pPr>
        <w:pStyle w:val="6"/>
        <w:shd w:val="clear" w:color="auto" w:fill="FFFFFF"/>
        <w:spacing w:after="150" w:line="375" w:lineRule="atLeast"/>
        <w:rPr>
          <w:rFonts w:ascii="Arial" w:hAnsi="Arial" w:cs="Arial"/>
          <w:sz w:val="21"/>
          <w:szCs w:val="21"/>
        </w:rPr>
      </w:pPr>
    </w:p>
    <w:p>
      <w:pPr>
        <w:pStyle w:val="6"/>
        <w:shd w:val="clear" w:color="auto" w:fill="FFFFFF"/>
        <w:spacing w:after="150" w:line="375" w:lineRule="atLeast"/>
        <w:rPr>
          <w:rFonts w:ascii="Arial" w:hAnsi="Arial" w:cs="Arial"/>
          <w:sz w:val="21"/>
          <w:szCs w:val="21"/>
        </w:rPr>
      </w:pPr>
    </w:p>
    <w:p>
      <w:pPr>
        <w:pStyle w:val="6"/>
        <w:shd w:val="clear" w:color="auto" w:fill="FFFFFF"/>
        <w:spacing w:after="150" w:line="375" w:lineRule="atLeast"/>
        <w:rPr>
          <w:rFonts w:ascii="Arial" w:hAnsi="Arial" w:cs="Arial"/>
          <w:sz w:val="21"/>
          <w:szCs w:val="21"/>
        </w:rPr>
      </w:pPr>
    </w:p>
    <w:p>
      <w:pPr>
        <w:pStyle w:val="6"/>
        <w:shd w:val="clear" w:color="auto" w:fill="FFFFFF"/>
        <w:spacing w:after="150" w:line="375" w:lineRule="atLeast"/>
        <w:rPr>
          <w:rFonts w:ascii="Arial" w:hAnsi="Arial" w:cs="Arial"/>
          <w:sz w:val="21"/>
          <w:szCs w:val="21"/>
        </w:rPr>
      </w:pPr>
    </w:p>
    <w:p>
      <w:pPr>
        <w:pStyle w:val="6"/>
        <w:shd w:val="clear" w:color="auto" w:fill="FFFFFF"/>
        <w:adjustRightInd w:val="0"/>
        <w:snapToGrid w:val="0"/>
        <w:spacing w:before="0" w:beforeAutospacing="0" w:after="0" w:afterAutospacing="0" w:line="360" w:lineRule="auto"/>
        <w:rPr>
          <w:rFonts w:ascii="Arial" w:hAnsi="Arial" w:cs="Arial"/>
          <w:sz w:val="21"/>
          <w:szCs w:val="21"/>
        </w:rPr>
      </w:pPr>
    </w:p>
    <w:p>
      <w:pPr>
        <w:pStyle w:val="6"/>
        <w:shd w:val="clear" w:color="auto" w:fill="FFFFFF"/>
        <w:adjustRightInd w:val="0"/>
        <w:snapToGrid w:val="0"/>
        <w:spacing w:before="0" w:beforeAutospacing="0" w:after="0" w:afterAutospacing="0" w:line="360" w:lineRule="auto"/>
        <w:rPr>
          <w:sz w:val="21"/>
          <w:szCs w:val="21"/>
        </w:rPr>
      </w:pPr>
      <w:r>
        <w:rPr>
          <w:rFonts w:hint="eastAsia" w:ascii="Arial" w:hAnsi="Arial" w:cs="Arial"/>
          <w:sz w:val="21"/>
          <w:szCs w:val="21"/>
        </w:rPr>
        <w:t>33.</w:t>
      </w:r>
      <w:r>
        <w:rPr>
          <w:rFonts w:hint="eastAsia"/>
          <w:sz w:val="21"/>
          <w:szCs w:val="21"/>
        </w:rPr>
        <w:t xml:space="preserve"> (12分)阅读材料，完成下列各题。</w:t>
      </w:r>
    </w:p>
    <w:p>
      <w:pPr>
        <w:pStyle w:val="6"/>
        <w:shd w:val="clear" w:color="auto" w:fill="FFFFFF"/>
        <w:adjustRightInd w:val="0"/>
        <w:snapToGrid w:val="0"/>
        <w:spacing w:before="0" w:beforeAutospacing="0" w:after="0" w:afterAutospacing="0" w:line="360" w:lineRule="auto"/>
        <w:ind w:firstLine="210" w:firstLineChars="100"/>
        <w:rPr>
          <w:rFonts w:ascii="楷体_GB2312" w:eastAsia="楷体_GB2312"/>
          <w:sz w:val="21"/>
          <w:szCs w:val="21"/>
        </w:rPr>
      </w:pPr>
      <w:r>
        <w:rPr>
          <w:rFonts w:hint="eastAsia" w:ascii="楷体_GB2312" w:eastAsia="楷体_GB2312"/>
          <w:sz w:val="21"/>
          <w:szCs w:val="21"/>
        </w:rPr>
        <w:t>改革开放以来，我国居民收入不断增加，1978年我国职工工资总额为568.9亿元，2009年达到40 288.2亿元；职工平均工资由1978年的615元，增加到2009年的32 736元。</w:t>
      </w:r>
    </w:p>
    <w:p>
      <w:pPr>
        <w:pStyle w:val="6"/>
        <w:shd w:val="clear" w:color="auto" w:fill="FFFFFF"/>
        <w:adjustRightInd w:val="0"/>
        <w:snapToGrid w:val="0"/>
        <w:spacing w:before="0" w:beforeAutospacing="0" w:after="0" w:afterAutospacing="0" w:line="360" w:lineRule="auto"/>
        <w:rPr>
          <w:sz w:val="21"/>
          <w:szCs w:val="21"/>
        </w:rPr>
      </w:pPr>
      <w:r>
        <w:rPr>
          <w:rFonts w:hint="eastAsia"/>
          <w:sz w:val="21"/>
          <w:szCs w:val="21"/>
        </w:rPr>
        <w:t>材料：在我国居民收入不断增加的同时，收入分配中的一些问题也逐步显现出来。2009年，我国的最低工资是我国人均GDP的25%，世界平均为58%；我国最低工资是我国平均工资的21%，世界平均为50%。</w:t>
      </w:r>
    </w:p>
    <w:p>
      <w:pPr>
        <w:pStyle w:val="6"/>
        <w:shd w:val="clear" w:color="auto" w:fill="FFFFFF"/>
        <w:adjustRightInd w:val="0"/>
        <w:snapToGrid w:val="0"/>
        <w:spacing w:before="0" w:beforeAutospacing="0" w:after="0" w:afterAutospacing="0" w:line="360" w:lineRule="auto"/>
        <w:rPr>
          <w:sz w:val="21"/>
          <w:szCs w:val="21"/>
        </w:rPr>
      </w:pPr>
      <w:r>
        <w:rPr>
          <w:rFonts w:hint="eastAsia"/>
          <w:sz w:val="21"/>
          <w:szCs w:val="21"/>
        </w:rPr>
        <w:t>我国居民收入在国民收入初次分配、再分配中的比重分别是图1、图2所示。</w:t>
      </w:r>
    </w:p>
    <w:tbl>
      <w:tblPr>
        <w:tblStyle w:val="9"/>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0" w:type="dxa"/>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我国政府、企业与居民在国民收入初次分配占比</w:t>
            </w:r>
          </w:p>
        </w:tc>
        <w:tc>
          <w:tcPr>
            <w:tcW w:w="4680" w:type="dxa"/>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我国政府、企业与居民在国民收入再分配占比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0" w:type="dxa"/>
          </w:tcPr>
          <w:p>
            <w:pPr>
              <w:jc w:val="right"/>
              <w:rPr>
                <w:rFonts w:ascii="Times New Roman" w:hAnsi="Times New Roman" w:eastAsia="宋体" w:cs="Times New Roman"/>
                <w:kern w:val="0"/>
                <w:sz w:val="20"/>
                <w:szCs w:val="20"/>
              </w:rPr>
            </w:pPr>
            <w:r>
              <w:rPr>
                <w:rFonts w:ascii="Times New Roman" w:hAnsi="Times New Roman" w:eastAsia="宋体" w:cs="Times New Roman"/>
                <w:kern w:val="0"/>
                <w:sz w:val="20"/>
                <w:szCs w:val="20"/>
              </w:rPr>
              <w:drawing>
                <wp:inline distT="0" distB="0" distL="0" distR="0">
                  <wp:extent cx="3200400" cy="2305050"/>
                  <wp:effectExtent l="0" t="0" r="0" b="0"/>
                  <wp:docPr id="2" name="图表 2" descr=" "/>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680" w:type="dxa"/>
          </w:tcPr>
          <w:p>
            <w:pPr>
              <w:jc w:val="right"/>
              <w:rPr>
                <w:rFonts w:ascii="Times New Roman" w:hAnsi="Times New Roman" w:eastAsia="宋体" w:cs="Times New Roman"/>
                <w:kern w:val="0"/>
                <w:sz w:val="20"/>
                <w:szCs w:val="20"/>
              </w:rPr>
            </w:pPr>
            <w:bookmarkStart w:id="0" w:name="_GoBack"/>
            <w:bookmarkEnd w:id="0"/>
            <w:r>
              <w:rPr>
                <w:rFonts w:ascii="Times New Roman" w:hAnsi="Times New Roman" w:eastAsia="宋体" w:cs="Times New Roman"/>
                <w:kern w:val="0"/>
                <w:sz w:val="20"/>
                <w:szCs w:val="20"/>
              </w:rPr>
              <w:drawing>
                <wp:inline distT="0" distB="0" distL="0" distR="0">
                  <wp:extent cx="3209925" cy="2371725"/>
                  <wp:effectExtent l="0" t="0" r="0" b="0"/>
                  <wp:docPr id="1" name="图表 1" descr=" "/>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0" w:type="dxa"/>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图1</w:t>
            </w:r>
          </w:p>
        </w:tc>
        <w:tc>
          <w:tcPr>
            <w:tcW w:w="4680" w:type="dxa"/>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图2</w:t>
            </w:r>
          </w:p>
        </w:tc>
      </w:tr>
    </w:tbl>
    <w:p>
      <w:pPr>
        <w:ind w:right="420" w:firstLine="2520" w:firstLineChars="1200"/>
      </w:pPr>
      <w:r>
        <w:rPr>
          <w:rFonts w:hint="eastAsia"/>
        </w:rPr>
        <w:t>摘编自2011年3月7日《经济观察报》</w:t>
      </w:r>
    </w:p>
    <w:p>
      <w:r>
        <w:rPr>
          <w:rFonts w:hint="eastAsia"/>
        </w:rPr>
        <w:t>问题：根据材料概括我国国民收入分配中存在的问题，并结合经济生活知识提出解决问题的政策建议。(12分)</w:t>
      </w:r>
    </w:p>
    <w:p>
      <w:pPr>
        <w:pStyle w:val="6"/>
        <w:shd w:val="clear" w:color="auto" w:fill="FFFFFF"/>
        <w:spacing w:before="0" w:beforeAutospacing="0" w:after="150" w:afterAutospacing="0" w:line="375" w:lineRule="atLeast"/>
        <w:rPr>
          <w:rFonts w:ascii="Arial" w:hAnsi="Arial" w:cs="Arial"/>
          <w:sz w:val="21"/>
          <w:szCs w:val="21"/>
        </w:rPr>
      </w:pPr>
    </w:p>
    <w:p>
      <w:pPr>
        <w:pStyle w:val="6"/>
        <w:shd w:val="clear" w:color="auto" w:fill="FFFFFF"/>
        <w:spacing w:before="0" w:beforeAutospacing="0" w:after="150" w:afterAutospacing="0" w:line="375" w:lineRule="atLeast"/>
        <w:rPr>
          <w:rFonts w:ascii="Arial" w:hAnsi="Arial" w:cs="Arial"/>
          <w:sz w:val="21"/>
          <w:szCs w:val="21"/>
        </w:rPr>
      </w:pPr>
    </w:p>
    <w:p>
      <w:pPr>
        <w:pStyle w:val="6"/>
        <w:shd w:val="clear" w:color="auto" w:fill="FFFFFF"/>
        <w:adjustRightInd w:val="0"/>
        <w:snapToGrid w:val="0"/>
        <w:spacing w:before="0" w:beforeAutospacing="0" w:after="0" w:afterAutospacing="0" w:line="360" w:lineRule="auto"/>
        <w:rPr>
          <w:rFonts w:ascii="Arial" w:hAnsi="Arial" w:cs="Arial"/>
          <w:sz w:val="21"/>
          <w:szCs w:val="21"/>
        </w:rPr>
      </w:pPr>
      <w:r>
        <w:rPr>
          <w:rFonts w:ascii="Arial" w:hAnsi="Arial" w:cs="Arial"/>
          <w:sz w:val="21"/>
          <w:szCs w:val="21"/>
        </w:rPr>
        <w:t>3</w:t>
      </w:r>
      <w:r>
        <w:rPr>
          <w:rFonts w:hint="eastAsia" w:ascii="Arial" w:hAnsi="Arial" w:cs="Arial"/>
          <w:sz w:val="21"/>
          <w:szCs w:val="21"/>
        </w:rPr>
        <w:t>4</w:t>
      </w:r>
      <w:r>
        <w:rPr>
          <w:rFonts w:ascii="Arial" w:hAnsi="Arial" w:cs="Arial"/>
          <w:sz w:val="21"/>
          <w:szCs w:val="21"/>
        </w:rPr>
        <w:t>．(</w:t>
      </w:r>
      <w:r>
        <w:rPr>
          <w:rFonts w:hint="eastAsia" w:ascii="Arial" w:hAnsi="Arial" w:cs="Arial"/>
          <w:sz w:val="21"/>
          <w:szCs w:val="21"/>
        </w:rPr>
        <w:t>12</w:t>
      </w:r>
      <w:r>
        <w:rPr>
          <w:rFonts w:ascii="Arial" w:hAnsi="Arial" w:cs="Arial"/>
          <w:sz w:val="21"/>
          <w:szCs w:val="21"/>
        </w:rPr>
        <w:t>分)科技服务业是现代服务业的重要组成部分。加快发展科技服务业，有利于提升科技对现代服务业的支撑和引领能力。</w:t>
      </w:r>
    </w:p>
    <w:p>
      <w:pPr>
        <w:pStyle w:val="6"/>
        <w:shd w:val="clear" w:color="auto" w:fill="FFFFFF"/>
        <w:adjustRightInd w:val="0"/>
        <w:snapToGrid w:val="0"/>
        <w:spacing w:before="0" w:beforeAutospacing="0" w:after="0" w:afterAutospacing="0" w:line="360" w:lineRule="auto"/>
        <w:ind w:firstLine="480"/>
        <w:rPr>
          <w:rFonts w:ascii="Arial" w:hAnsi="Arial" w:cs="Arial"/>
          <w:sz w:val="21"/>
          <w:szCs w:val="21"/>
        </w:rPr>
      </w:pPr>
      <w:r>
        <w:rPr>
          <w:rFonts w:ascii="Arial" w:hAnsi="Arial" w:cs="Arial"/>
          <w:sz w:val="21"/>
          <w:szCs w:val="21"/>
        </w:rPr>
        <w:t>材料</w:t>
      </w:r>
      <w:r>
        <w:rPr>
          <w:rFonts w:hint="eastAsia" w:ascii="Arial" w:hAnsi="Arial" w:cs="Arial"/>
          <w:sz w:val="21"/>
          <w:szCs w:val="21"/>
        </w:rPr>
        <w:t>一：</w:t>
      </w:r>
      <w:r>
        <w:rPr>
          <w:rFonts w:ascii="Arial" w:hAnsi="Arial" w:cs="Arial"/>
          <w:sz w:val="21"/>
          <w:szCs w:val="21"/>
        </w:rPr>
        <w:t xml:space="preserve"> 科技服务业具有人才智力密集、科技含量高、产业附加值大、辐射带动作用强等特点。相对于国民经济发展要求与国际发展趋势，我国科技服务业仍处于发展初期，存在着市场化程度低、缺乏知名品牌、发展环境不完善、国际化程度低等问题。加快科技服务业发展，是实现科技创新引领产业升级的重要一环。</w:t>
      </w:r>
    </w:p>
    <w:p>
      <w:pPr>
        <w:pStyle w:val="6"/>
        <w:shd w:val="clear" w:color="auto" w:fill="FFFFFF"/>
        <w:adjustRightInd w:val="0"/>
        <w:snapToGrid w:val="0"/>
        <w:spacing w:before="0" w:beforeAutospacing="0" w:after="0" w:afterAutospacing="0" w:line="360" w:lineRule="auto"/>
        <w:ind w:firstLine="480"/>
        <w:rPr>
          <w:rFonts w:ascii="Arial" w:hAnsi="Arial" w:cs="Arial"/>
          <w:sz w:val="21"/>
          <w:szCs w:val="21"/>
        </w:rPr>
      </w:pPr>
      <w:r>
        <w:rPr>
          <w:rFonts w:ascii="Arial" w:hAnsi="Arial" w:cs="Arial"/>
          <w:sz w:val="21"/>
          <w:szCs w:val="21"/>
        </w:rPr>
        <w:t>材料</w:t>
      </w:r>
      <w:r>
        <w:rPr>
          <w:rFonts w:hint="eastAsia" w:ascii="Arial" w:hAnsi="Arial" w:cs="Arial"/>
          <w:sz w:val="21"/>
          <w:szCs w:val="21"/>
        </w:rPr>
        <w:t>二：</w:t>
      </w:r>
      <w:r>
        <w:rPr>
          <w:rFonts w:ascii="Arial" w:hAnsi="Arial" w:cs="Arial"/>
          <w:sz w:val="21"/>
          <w:szCs w:val="21"/>
        </w:rPr>
        <w:t xml:space="preserve"> 2017年10月，国务院印发了《关于加快科技服务业发展的若干意见》。《意见》提出了我国科技服务业产业规模到2020年达到8万亿元的发展目标，提出了我国科技服务业要重点发展研究开发、技术转移、知识产权等专业科技服务和综合科技服务等重要任务，提出了加大财税支持、拓宽资金渠道等加快科技服务业发展的若干政策措施。</w:t>
      </w:r>
    </w:p>
    <w:p>
      <w:pPr>
        <w:pStyle w:val="6"/>
        <w:shd w:val="clear" w:color="auto" w:fill="FFFFFF"/>
        <w:adjustRightInd w:val="0"/>
        <w:snapToGrid w:val="0"/>
        <w:spacing w:before="0" w:beforeAutospacing="0" w:after="0" w:afterAutospacing="0" w:line="360" w:lineRule="auto"/>
        <w:rPr>
          <w:rFonts w:ascii="Arial" w:hAnsi="Arial" w:cs="Arial"/>
          <w:sz w:val="21"/>
          <w:szCs w:val="21"/>
        </w:rPr>
      </w:pPr>
      <w:r>
        <w:rPr>
          <w:rFonts w:hint="eastAsia"/>
          <w:sz w:val="21"/>
          <w:szCs w:val="21"/>
        </w:rPr>
        <w:t>问题：</w:t>
      </w:r>
      <w:r>
        <w:rPr>
          <w:sz w:val="21"/>
          <w:szCs w:val="21"/>
        </w:rPr>
        <w:t>联系材料</w:t>
      </w:r>
      <w:r>
        <w:rPr>
          <w:rFonts w:hint="eastAsia"/>
          <w:sz w:val="21"/>
          <w:szCs w:val="21"/>
        </w:rPr>
        <w:t>一</w:t>
      </w:r>
      <w:r>
        <w:rPr>
          <w:sz w:val="21"/>
          <w:szCs w:val="21"/>
        </w:rPr>
        <w:t>、</w:t>
      </w:r>
      <w:r>
        <w:rPr>
          <w:rFonts w:hint="eastAsia"/>
          <w:sz w:val="21"/>
          <w:szCs w:val="21"/>
        </w:rPr>
        <w:t>二</w:t>
      </w:r>
      <w:r>
        <w:rPr>
          <w:sz w:val="21"/>
          <w:szCs w:val="21"/>
        </w:rPr>
        <w:t>，从经济生活角度简要说明如何加快科技服务业发展。（</w:t>
      </w:r>
      <w:r>
        <w:rPr>
          <w:rFonts w:hint="eastAsia"/>
          <w:sz w:val="21"/>
          <w:szCs w:val="21"/>
        </w:rPr>
        <w:t>12</w:t>
      </w:r>
      <w:r>
        <w:rPr>
          <w:sz w:val="21"/>
          <w:szCs w:val="21"/>
        </w:rPr>
        <w:t>分）</w:t>
      </w:r>
    </w:p>
    <w:p>
      <w:pPr>
        <w:spacing w:before="156" w:beforeLines="50" w:line="400" w:lineRule="exact"/>
        <w:jc w:val="center"/>
      </w:pPr>
    </w:p>
    <w:p>
      <w:pPr>
        <w:spacing w:before="156" w:beforeLines="50" w:line="400" w:lineRule="exact"/>
        <w:jc w:val="center"/>
      </w:pPr>
    </w:p>
    <w:p>
      <w:pPr>
        <w:spacing w:before="156" w:beforeLines="50" w:line="400" w:lineRule="exact"/>
        <w:jc w:val="center"/>
      </w:pPr>
    </w:p>
    <w:p>
      <w:pPr>
        <w:spacing w:before="156" w:beforeLines="50" w:line="400" w:lineRule="exact"/>
        <w:jc w:val="center"/>
      </w:pPr>
    </w:p>
    <w:p>
      <w:pPr>
        <w:widowControl/>
        <w:jc w:val="left"/>
      </w:pPr>
      <w:r>
        <w:br w:type="page"/>
      </w:r>
    </w:p>
    <w:p>
      <w:pPr>
        <w:pStyle w:val="6"/>
        <w:shd w:val="clear" w:color="auto" w:fill="FFFFFF"/>
        <w:adjustRightInd w:val="0"/>
        <w:snapToGrid w:val="0"/>
        <w:spacing w:before="0" w:beforeAutospacing="0" w:after="0" w:afterAutospacing="0" w:line="240" w:lineRule="atLeast"/>
        <w:ind w:firstLine="3360" w:firstLineChars="1400"/>
        <w:rPr>
          <w:rFonts w:ascii="Times New Roman" w:hAnsi="Times New Roman" w:eastAsia="黑体"/>
        </w:rPr>
      </w:pPr>
      <w:r>
        <w:rPr>
          <w:rFonts w:ascii="Times New Roman" w:hAnsi="Times New Roman" w:eastAsia="黑体"/>
        </w:rPr>
        <w:t>答案</w:t>
      </w:r>
    </w:p>
    <w:p>
      <w:pPr>
        <w:pStyle w:val="6"/>
        <w:numPr>
          <w:ilvl w:val="0"/>
          <w:numId w:val="3"/>
        </w:numPr>
        <w:shd w:val="clear" w:color="auto" w:fill="FFFFFF"/>
        <w:adjustRightInd w:val="0"/>
        <w:snapToGrid w:val="0"/>
        <w:spacing w:before="0" w:beforeAutospacing="0" w:after="0" w:afterAutospacing="0" w:line="240" w:lineRule="atLeast"/>
        <w:rPr>
          <w:rFonts w:cs="Arial"/>
        </w:rPr>
      </w:pPr>
      <w:r>
        <w:rPr>
          <w:rFonts w:hint="eastAsia" w:cs="Arial"/>
        </w:rPr>
        <w:t>选择题（共60分）</w:t>
      </w:r>
    </w:p>
    <w:p>
      <w:pPr>
        <w:pStyle w:val="6"/>
        <w:shd w:val="clear" w:color="auto" w:fill="FFFFFF"/>
        <w:adjustRightInd w:val="0"/>
        <w:snapToGrid w:val="0"/>
        <w:spacing w:before="0" w:beforeAutospacing="0" w:after="0" w:afterAutospacing="0" w:line="240" w:lineRule="atLeast"/>
        <w:rPr>
          <w:rFonts w:cs="Arial"/>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题号</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3</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4</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5</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6</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7</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8</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9</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答案</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题号</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11</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12</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13</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14</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15</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16</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17</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18</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19</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答案</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题号</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21</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22</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23</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24</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25</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26</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27</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28</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29</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Pr>
          <w:p>
            <w:pPr>
              <w:pStyle w:val="6"/>
              <w:adjustRightInd w:val="0"/>
              <w:snapToGrid w:val="0"/>
              <w:spacing w:before="0" w:beforeAutospacing="0" w:after="0" w:afterAutospacing="0" w:line="240" w:lineRule="atLeast"/>
              <w:rPr>
                <w:rFonts w:cs="Arial"/>
                <w:b/>
                <w:sz w:val="21"/>
                <w:szCs w:val="21"/>
              </w:rPr>
            </w:pPr>
            <w:r>
              <w:rPr>
                <w:rFonts w:hint="eastAsia" w:cs="Arial"/>
                <w:b/>
                <w:sz w:val="21"/>
                <w:szCs w:val="21"/>
              </w:rPr>
              <w:t>答案</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c>
          <w:tcPr>
            <w:tcW w:w="774"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D</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B</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C</w:t>
            </w:r>
          </w:p>
        </w:tc>
        <w:tc>
          <w:tcPr>
            <w:tcW w:w="775" w:type="dxa"/>
          </w:tcPr>
          <w:p>
            <w:pPr>
              <w:pStyle w:val="6"/>
              <w:adjustRightInd w:val="0"/>
              <w:snapToGrid w:val="0"/>
              <w:spacing w:before="0" w:beforeAutospacing="0" w:after="0" w:afterAutospacing="0" w:line="240" w:lineRule="atLeast"/>
              <w:jc w:val="center"/>
              <w:rPr>
                <w:rFonts w:cs="Arial"/>
                <w:b/>
                <w:sz w:val="21"/>
                <w:szCs w:val="21"/>
              </w:rPr>
            </w:pPr>
            <w:r>
              <w:rPr>
                <w:rFonts w:hint="eastAsia" w:cs="Arial"/>
                <w:b/>
                <w:sz w:val="21"/>
                <w:szCs w:val="21"/>
              </w:rPr>
              <w:t>A</w:t>
            </w:r>
          </w:p>
        </w:tc>
      </w:tr>
    </w:tbl>
    <w:p>
      <w:pPr>
        <w:pStyle w:val="6"/>
        <w:shd w:val="clear" w:color="auto" w:fill="FFFFFF"/>
        <w:adjustRightInd w:val="0"/>
        <w:snapToGrid w:val="0"/>
        <w:spacing w:before="0" w:beforeAutospacing="0" w:after="0" w:afterAutospacing="0" w:line="240" w:lineRule="atLeast"/>
        <w:rPr>
          <w:rFonts w:cs="Arial"/>
          <w:sz w:val="21"/>
          <w:szCs w:val="21"/>
        </w:rPr>
      </w:pPr>
    </w:p>
    <w:p>
      <w:pPr>
        <w:pStyle w:val="6"/>
        <w:numPr>
          <w:ilvl w:val="0"/>
          <w:numId w:val="3"/>
        </w:numPr>
        <w:shd w:val="clear" w:color="auto" w:fill="FFFFFF"/>
        <w:adjustRightInd w:val="0"/>
        <w:snapToGrid w:val="0"/>
        <w:spacing w:before="0" w:beforeAutospacing="0" w:after="0" w:afterAutospacing="0" w:line="240" w:lineRule="atLeast"/>
        <w:rPr>
          <w:rFonts w:cs="Arial"/>
        </w:rPr>
      </w:pPr>
      <w:r>
        <w:rPr>
          <w:rFonts w:hint="eastAsia" w:cs="Arial"/>
          <w:sz w:val="21"/>
          <w:szCs w:val="21"/>
        </w:rPr>
        <w:t>非选择题</w:t>
      </w:r>
      <w:r>
        <w:rPr>
          <w:rFonts w:hint="eastAsia" w:cs="Arial"/>
        </w:rPr>
        <w:t>（共40分）</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cs="Arial"/>
          <w:sz w:val="21"/>
          <w:szCs w:val="21"/>
        </w:rPr>
        <w:t>31．</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cs="Arial"/>
          <w:sz w:val="21"/>
          <w:szCs w:val="21"/>
        </w:rPr>
        <w:t>①供求关系影响价格。（1分）养猪农户大大减少，导致生猪供应量减少，猪肉价格上涨。（1分）</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cs="Arial"/>
          <w:sz w:val="21"/>
          <w:szCs w:val="21"/>
        </w:rPr>
        <w:t>②价值决定价格。（1分）猪饲料价格上涨，养猪成本增加，导致猪肉价格上涨。（1分） </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cs="Arial"/>
          <w:sz w:val="21"/>
          <w:szCs w:val="21"/>
        </w:rPr>
        <w:t>③价格变动调节产量，影响生产经营。（1分）受利益驱动，过去两年猪肉价格持续低迷，养猪农户减少，导致生猪供应量减少。此次肉价上涨，养殖户会扩大生产规模。（1分） </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cs="Arial"/>
          <w:sz w:val="21"/>
          <w:szCs w:val="21"/>
        </w:rPr>
        <w:t>④商品价格受供求关系的影响（1分），围绕价值上下波动，是价值规律的表现形式。（1分）</w:t>
      </w:r>
    </w:p>
    <w:p>
      <w:pPr>
        <w:pStyle w:val="6"/>
        <w:shd w:val="clear" w:color="auto" w:fill="FFFFFF"/>
        <w:adjustRightInd w:val="0"/>
        <w:snapToGrid w:val="0"/>
        <w:spacing w:before="0" w:beforeAutospacing="0" w:after="0" w:afterAutospacing="0" w:line="240" w:lineRule="atLeast"/>
        <w:rPr>
          <w:sz w:val="21"/>
          <w:szCs w:val="21"/>
        </w:rPr>
      </w:pPr>
    </w:p>
    <w:p>
      <w:pPr>
        <w:pStyle w:val="6"/>
        <w:shd w:val="clear" w:color="auto" w:fill="FFFFFF"/>
        <w:adjustRightInd w:val="0"/>
        <w:snapToGrid w:val="0"/>
        <w:spacing w:before="0" w:beforeAutospacing="0" w:after="0" w:afterAutospacing="0" w:line="240" w:lineRule="atLeast"/>
        <w:rPr>
          <w:sz w:val="21"/>
          <w:szCs w:val="21"/>
        </w:rPr>
      </w:pPr>
      <w:r>
        <w:rPr>
          <w:rFonts w:hint="eastAsia"/>
          <w:sz w:val="21"/>
          <w:szCs w:val="21"/>
        </w:rPr>
        <w:t>32．</w:t>
      </w:r>
    </w:p>
    <w:p>
      <w:pPr>
        <w:pStyle w:val="6"/>
        <w:shd w:val="clear" w:color="auto" w:fill="FFFFFF"/>
        <w:adjustRightInd w:val="0"/>
        <w:snapToGrid w:val="0"/>
        <w:spacing w:before="0" w:beforeAutospacing="0" w:after="0" w:afterAutospacing="0" w:line="240" w:lineRule="atLeast"/>
        <w:rPr>
          <w:sz w:val="21"/>
          <w:szCs w:val="21"/>
        </w:rPr>
      </w:pPr>
      <w:r>
        <w:rPr>
          <w:sz w:val="21"/>
          <w:szCs w:val="21"/>
        </w:rPr>
        <w:t>改制后，公司经营战略目标明确，市场定位准确；</w:t>
      </w:r>
    </w:p>
    <w:p>
      <w:pPr>
        <w:pStyle w:val="6"/>
        <w:shd w:val="clear" w:color="auto" w:fill="FFFFFF"/>
        <w:adjustRightInd w:val="0"/>
        <w:snapToGrid w:val="0"/>
        <w:spacing w:before="0" w:beforeAutospacing="0" w:after="0" w:afterAutospacing="0" w:line="240" w:lineRule="atLeast"/>
        <w:rPr>
          <w:sz w:val="21"/>
          <w:szCs w:val="21"/>
        </w:rPr>
      </w:pPr>
      <w:r>
        <w:rPr>
          <w:sz w:val="21"/>
          <w:szCs w:val="21"/>
        </w:rPr>
        <w:t>权责明确的现代企业制度和合理的组织机构保证了公司高效运转；</w:t>
      </w:r>
    </w:p>
    <w:p>
      <w:pPr>
        <w:pStyle w:val="6"/>
        <w:shd w:val="clear" w:color="auto" w:fill="FFFFFF"/>
        <w:adjustRightInd w:val="0"/>
        <w:snapToGrid w:val="0"/>
        <w:spacing w:before="0" w:beforeAutospacing="0" w:after="0" w:afterAutospacing="0" w:line="240" w:lineRule="atLeast"/>
        <w:rPr>
          <w:sz w:val="21"/>
          <w:szCs w:val="21"/>
        </w:rPr>
      </w:pPr>
      <w:r>
        <w:rPr>
          <w:sz w:val="21"/>
          <w:szCs w:val="21"/>
        </w:rPr>
        <w:t>科学的管理、高质量的演出节目和市场化的营销形成了公司的竞争</w:t>
      </w:r>
      <w:r>
        <w:rPr>
          <w:rFonts w:hint="eastAsia"/>
          <w:sz w:val="21"/>
          <w:szCs w:val="21"/>
        </w:rPr>
        <w:t>优势；</w:t>
      </w:r>
    </w:p>
    <w:p>
      <w:pPr>
        <w:pStyle w:val="6"/>
        <w:shd w:val="clear" w:color="auto" w:fill="FFFFFF"/>
        <w:adjustRightInd w:val="0"/>
        <w:snapToGrid w:val="0"/>
        <w:spacing w:before="0" w:beforeAutospacing="0" w:after="0" w:afterAutospacing="0" w:line="240" w:lineRule="atLeast"/>
        <w:rPr>
          <w:sz w:val="21"/>
          <w:szCs w:val="21"/>
        </w:rPr>
      </w:pPr>
      <w:r>
        <w:rPr>
          <w:rFonts w:hint="eastAsia"/>
          <w:sz w:val="21"/>
          <w:szCs w:val="21"/>
        </w:rPr>
        <w:t>合理的分配制度激发了员工的积极性；</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演出场次增加、多个节目获奖，树立了良好的企业形象。</w:t>
      </w:r>
    </w:p>
    <w:p>
      <w:pPr>
        <w:tabs>
          <w:tab w:val="left" w:pos="420"/>
          <w:tab w:val="left" w:pos="2205"/>
          <w:tab w:val="left" w:pos="3990"/>
          <w:tab w:val="left" w:pos="5775"/>
          <w:tab w:val="left" w:pos="7560"/>
        </w:tabs>
        <w:adjustRightInd w:val="0"/>
        <w:snapToGrid w:val="0"/>
        <w:spacing w:line="240" w:lineRule="atLeast"/>
        <w:ind w:firstLine="105" w:firstLineChars="50"/>
        <w:rPr>
          <w:rFonts w:ascii="宋体" w:hAnsi="宋体"/>
          <w:bCs/>
          <w:szCs w:val="21"/>
        </w:rPr>
      </w:pPr>
      <w:r>
        <w:rPr>
          <w:rFonts w:hint="eastAsia" w:ascii="宋体" w:hAnsi="宋体"/>
          <w:bCs/>
          <w:szCs w:val="21"/>
        </w:rPr>
        <w:t>(每点2分，只要答到四点即可得满分。但总共不得超过8分)</w:t>
      </w:r>
    </w:p>
    <w:p>
      <w:pPr>
        <w:tabs>
          <w:tab w:val="left" w:pos="420"/>
          <w:tab w:val="left" w:pos="2205"/>
          <w:tab w:val="left" w:pos="3990"/>
          <w:tab w:val="left" w:pos="5775"/>
          <w:tab w:val="left" w:pos="7560"/>
        </w:tabs>
        <w:adjustRightInd w:val="0"/>
        <w:snapToGrid w:val="0"/>
        <w:spacing w:line="240" w:lineRule="atLeast"/>
        <w:rPr>
          <w:rFonts w:ascii="宋体" w:hAnsi="宋体"/>
          <w:szCs w:val="21"/>
        </w:rPr>
      </w:pPr>
      <w:r>
        <w:rPr>
          <w:rFonts w:hint="eastAsia" w:ascii="宋体" w:hAnsi="宋体"/>
          <w:bCs/>
          <w:szCs w:val="21"/>
        </w:rPr>
        <w:t>33．</w:t>
      </w:r>
    </w:p>
    <w:p>
      <w:pPr>
        <w:adjustRightInd w:val="0"/>
        <w:snapToGrid w:val="0"/>
        <w:spacing w:line="240" w:lineRule="atLeast"/>
        <w:rPr>
          <w:rFonts w:ascii="宋体" w:hAnsi="宋体"/>
          <w:szCs w:val="21"/>
        </w:rPr>
      </w:pPr>
      <w:r>
        <w:rPr>
          <w:rFonts w:hint="eastAsia" w:ascii="宋体" w:hAnsi="宋体"/>
          <w:szCs w:val="21"/>
        </w:rPr>
        <w:t> 问题：与世界水平相比，最低工资在人均GDP中占比低，在平均工资中占比低，最低工资水平偏低。(1分)居民在初次分配和再分配中占比呈减少趋势，(1分)政府和企业所得占比呈增加趋势，国民收入分配结构不合理。 (2分)</w:t>
      </w:r>
    </w:p>
    <w:p>
      <w:pPr>
        <w:pStyle w:val="6"/>
        <w:shd w:val="clear" w:color="auto" w:fill="FFFFFF"/>
        <w:adjustRightInd w:val="0"/>
        <w:snapToGrid w:val="0"/>
        <w:spacing w:before="0" w:beforeAutospacing="0" w:after="0" w:afterAutospacing="0" w:line="240" w:lineRule="atLeast"/>
        <w:rPr>
          <w:sz w:val="21"/>
          <w:szCs w:val="21"/>
        </w:rPr>
      </w:pPr>
      <w:r>
        <w:rPr>
          <w:rFonts w:hint="eastAsia" w:cs="Arial"/>
          <w:sz w:val="21"/>
          <w:szCs w:val="21"/>
        </w:rPr>
        <w:t>对策：提高居民收入在国民收入分配中的比重；</w:t>
      </w:r>
      <w:r>
        <w:rPr>
          <w:rFonts w:hint="eastAsia"/>
          <w:sz w:val="21"/>
          <w:szCs w:val="21"/>
        </w:rPr>
        <w:t>(2分)</w:t>
      </w:r>
      <w:r>
        <w:rPr>
          <w:rFonts w:hint="eastAsia" w:cs="Arial"/>
          <w:sz w:val="21"/>
          <w:szCs w:val="21"/>
        </w:rPr>
        <w:t>提高劳动报酬在初次分配中的比重；</w:t>
      </w:r>
      <w:r>
        <w:rPr>
          <w:rFonts w:hint="eastAsia"/>
          <w:sz w:val="21"/>
          <w:szCs w:val="21"/>
        </w:rPr>
        <w:t>(2分)</w:t>
      </w:r>
      <w:r>
        <w:rPr>
          <w:rFonts w:hint="eastAsia" w:cs="Arial"/>
          <w:sz w:val="21"/>
          <w:szCs w:val="21"/>
        </w:rPr>
        <w:t>逐步提高最低工资标准；</w:t>
      </w:r>
      <w:r>
        <w:rPr>
          <w:rFonts w:hint="eastAsia"/>
          <w:sz w:val="21"/>
          <w:szCs w:val="21"/>
        </w:rPr>
        <w:t>(1分)</w:t>
      </w:r>
      <w:r>
        <w:rPr>
          <w:rFonts w:hint="eastAsia" w:cs="Arial"/>
          <w:sz w:val="21"/>
          <w:szCs w:val="21"/>
        </w:rPr>
        <w:t>建立职工工资和居民收入的正常增长机制；</w:t>
      </w:r>
      <w:r>
        <w:rPr>
          <w:rFonts w:hint="eastAsia"/>
          <w:sz w:val="21"/>
          <w:szCs w:val="21"/>
        </w:rPr>
        <w:t>(1分)</w:t>
      </w:r>
      <w:r>
        <w:rPr>
          <w:rFonts w:hint="eastAsia" w:cs="Arial"/>
          <w:sz w:val="21"/>
          <w:szCs w:val="21"/>
        </w:rPr>
        <w:t>建立和完善社会保障机制，促进社会公平。</w:t>
      </w:r>
      <w:r>
        <w:rPr>
          <w:rFonts w:hint="eastAsia"/>
          <w:sz w:val="21"/>
          <w:szCs w:val="21"/>
        </w:rPr>
        <w:t>(2分)</w:t>
      </w:r>
    </w:p>
    <w:p>
      <w:pPr>
        <w:pStyle w:val="6"/>
        <w:shd w:val="clear" w:color="auto" w:fill="FFFFFF"/>
        <w:adjustRightInd w:val="0"/>
        <w:snapToGrid w:val="0"/>
        <w:spacing w:before="0" w:beforeAutospacing="0" w:after="0" w:afterAutospacing="0" w:line="240" w:lineRule="atLeast"/>
        <w:rPr>
          <w:sz w:val="21"/>
          <w:szCs w:val="21"/>
        </w:rPr>
      </w:pP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34．</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①</w:t>
      </w:r>
      <w:r>
        <w:rPr>
          <w:rFonts w:cs="Arial"/>
          <w:sz w:val="21"/>
          <w:szCs w:val="21"/>
        </w:rPr>
        <w:t>实施创新驱动发展战略，提高自主创新能力，发挥科技对我国现代服务业的支撑和引领能力；</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②</w:t>
      </w:r>
      <w:r>
        <w:rPr>
          <w:rFonts w:cs="Arial"/>
          <w:sz w:val="21"/>
          <w:szCs w:val="21"/>
        </w:rPr>
        <w:t>坚持市场导向，充分发挥市场在科技资源配置中的决定性作用，激发各类科技服务主体活力；</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③</w:t>
      </w:r>
      <w:r>
        <w:rPr>
          <w:rFonts w:cs="Arial"/>
          <w:sz w:val="21"/>
          <w:szCs w:val="21"/>
        </w:rPr>
        <w:t>国家加强宏观调控，通过财税、金融、产业等政策支持和知识产权保护，为科技服务业创造良好的发展环境；</w:t>
      </w:r>
    </w:p>
    <w:p>
      <w:pPr>
        <w:pStyle w:val="6"/>
        <w:shd w:val="clear" w:color="auto" w:fill="FFFFFF"/>
        <w:adjustRightInd w:val="0"/>
        <w:snapToGrid w:val="0"/>
        <w:spacing w:before="0" w:beforeAutospacing="0" w:after="0" w:afterAutospacing="0" w:line="240" w:lineRule="atLeast"/>
        <w:rPr>
          <w:rFonts w:cs="Arial"/>
          <w:sz w:val="21"/>
          <w:szCs w:val="21"/>
        </w:rPr>
      </w:pPr>
      <w:r>
        <w:rPr>
          <w:rFonts w:hint="eastAsia"/>
          <w:sz w:val="21"/>
          <w:szCs w:val="21"/>
        </w:rPr>
        <w:t>④</w:t>
      </w:r>
      <w:r>
        <w:rPr>
          <w:rFonts w:cs="Arial"/>
          <w:sz w:val="21"/>
          <w:szCs w:val="21"/>
        </w:rPr>
        <w:t>加强国际交流与合作，培育具有全球影响力的科技服务品牌。（每点</w:t>
      </w:r>
      <w:r>
        <w:rPr>
          <w:rFonts w:hint="eastAsia" w:cs="Arial"/>
          <w:sz w:val="21"/>
          <w:szCs w:val="21"/>
        </w:rPr>
        <w:t>3</w:t>
      </w:r>
      <w:r>
        <w:rPr>
          <w:rFonts w:cs="Arial"/>
          <w:sz w:val="21"/>
          <w:szCs w:val="21"/>
        </w:rPr>
        <w:t>分）</w:t>
      </w:r>
    </w:p>
    <w:p>
      <w:pPr>
        <w:spacing w:before="156" w:beforeLines="50" w:line="400" w:lineRule="exact"/>
      </w:pPr>
    </w:p>
    <w:sectPr>
      <w:footerReference r:id="rId3" w:type="default"/>
      <w:pgSz w:w="11906" w:h="16838"/>
      <w:pgMar w:top="720" w:right="720" w:bottom="720" w:left="72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957754"/>
      <w:docPartObj>
        <w:docPartGallery w:val="AutoText"/>
      </w:docPartObj>
    </w:sdtPr>
    <w:sdtContent>
      <w:p>
        <w:pPr>
          <w:pStyle w:val="4"/>
          <w:jc w:val="center"/>
          <w:rPr>
            <w:rFonts w:hint="eastAsia"/>
          </w:rPr>
        </w:pPr>
        <w:r>
          <w:fldChar w:fldCharType="begin"/>
        </w:r>
        <w:r>
          <w:instrText xml:space="preserve">PAGE   \* MERGEFORMAT</w:instrText>
        </w:r>
        <w:r>
          <w:fldChar w:fldCharType="separate"/>
        </w:r>
        <w:r>
          <w:rPr>
            <w:lang w:val="zh-CN"/>
          </w:rPr>
          <w:t>6</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1ED2"/>
    <w:multiLevelType w:val="multilevel"/>
    <w:tmpl w:val="10F11ED2"/>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B0A5053"/>
    <w:multiLevelType w:val="multilevel"/>
    <w:tmpl w:val="2B0A5053"/>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7934903"/>
    <w:multiLevelType w:val="multilevel"/>
    <w:tmpl w:val="67934903"/>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1FE113F"/>
    <w:rsid w:val="5E936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2"/>
    <w:unhideWhenUsed/>
    <w:qFormat/>
    <w:uiPriority w:val="0"/>
    <w:rPr>
      <w:rFonts w:ascii="宋体" w:hAnsi="Courier New" w:eastAsia="宋体" w:cs="Courier New"/>
      <w:szCs w:val="21"/>
    </w:rPr>
  </w:style>
  <w:style w:type="paragraph" w:styleId="3">
    <w:name w:val="Balloon Text"/>
    <w:basedOn w:val="1"/>
    <w:link w:val="16"/>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Normal (Web)"/>
    <w:basedOn w:val="1"/>
    <w:uiPriority w:val="0"/>
    <w:pPr>
      <w:widowControl/>
      <w:spacing w:before="100" w:beforeAutospacing="1" w:after="100" w:afterAutospacing="1"/>
      <w:jc w:val="left"/>
    </w:pPr>
    <w:rPr>
      <w:rFonts w:ascii="宋体" w:hAnsi="宋体" w:eastAsia="宋体" w:cs="Times New Roman"/>
      <w:kern w:val="0"/>
      <w:sz w:val="24"/>
      <w:szCs w:val="24"/>
    </w:rPr>
  </w:style>
  <w:style w:type="table" w:styleId="9">
    <w:name w:val="Table Grid"/>
    <w:basedOn w:val="8"/>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7"/>
    <w:link w:val="5"/>
    <w:qFormat/>
    <w:uiPriority w:val="99"/>
    <w:rPr>
      <w:rFonts w:ascii="Times New Roman" w:hAnsi="Times New Roman" w:eastAsia="宋体" w:cs="Times New Roman"/>
      <w:sz w:val="18"/>
      <w:szCs w:val="18"/>
    </w:rPr>
  </w:style>
  <w:style w:type="character" w:customStyle="1" w:styleId="11">
    <w:name w:val="页脚 Char"/>
    <w:basedOn w:val="7"/>
    <w:link w:val="4"/>
    <w:uiPriority w:val="99"/>
    <w:rPr>
      <w:rFonts w:ascii="Times New Roman" w:hAnsi="Times New Roman" w:eastAsia="宋体" w:cs="Times New Roman"/>
      <w:sz w:val="18"/>
      <w:szCs w:val="18"/>
    </w:rPr>
  </w:style>
  <w:style w:type="character" w:customStyle="1" w:styleId="12">
    <w:name w:val="纯文本 Char"/>
    <w:basedOn w:val="7"/>
    <w:link w:val="2"/>
    <w:qFormat/>
    <w:uiPriority w:val="0"/>
    <w:rPr>
      <w:rFonts w:ascii="宋体" w:hAnsi="Courier New" w:eastAsia="宋体" w:cs="Courier New"/>
      <w:szCs w:val="21"/>
    </w:rPr>
  </w:style>
  <w:style w:type="character" w:customStyle="1" w:styleId="13">
    <w:name w:val="页脚 Char1"/>
    <w:basedOn w:val="7"/>
    <w:semiHidden/>
    <w:qFormat/>
    <w:uiPriority w:val="99"/>
    <w:rPr>
      <w:kern w:val="2"/>
      <w:sz w:val="18"/>
      <w:szCs w:val="18"/>
    </w:rPr>
  </w:style>
  <w:style w:type="character" w:customStyle="1" w:styleId="14">
    <w:name w:val="纯文本 Char1"/>
    <w:basedOn w:val="7"/>
    <w:semiHidden/>
    <w:qFormat/>
    <w:uiPriority w:val="99"/>
    <w:rPr>
      <w:rFonts w:hint="eastAsia" w:ascii="宋体" w:hAnsi="Courier New" w:eastAsia="宋体" w:cs="Courier New"/>
      <w:kern w:val="2"/>
      <w:sz w:val="21"/>
      <w:szCs w:val="21"/>
    </w:rPr>
  </w:style>
  <w:style w:type="character" w:customStyle="1" w:styleId="15">
    <w:name w:val="页眉 Char1"/>
    <w:basedOn w:val="7"/>
    <w:semiHidden/>
    <w:uiPriority w:val="99"/>
    <w:rPr>
      <w:kern w:val="2"/>
      <w:sz w:val="18"/>
      <w:szCs w:val="18"/>
    </w:rPr>
  </w:style>
  <w:style w:type="character" w:customStyle="1" w:styleId="16">
    <w:name w:val="批注框文本 Char"/>
    <w:basedOn w:val="7"/>
    <w:link w:val="3"/>
    <w:qFormat/>
    <w:uiPriority w:val="99"/>
    <w:rPr>
      <w:sz w:val="18"/>
      <w:szCs w:val="18"/>
    </w:rPr>
  </w:style>
  <w:style w:type="character" w:customStyle="1" w:styleId="17">
    <w:name w:val="无间隔 Char"/>
    <w:basedOn w:val="7"/>
    <w:link w:val="18"/>
    <w:qFormat/>
    <w:uiPriority w:val="1"/>
    <w:rPr>
      <w:kern w:val="0"/>
      <w:sz w:val="22"/>
    </w:rPr>
  </w:style>
  <w:style w:type="paragraph" w:customStyle="1" w:styleId="18">
    <w:name w:val="无间隔1"/>
    <w:link w:val="17"/>
    <w:qFormat/>
    <w:uiPriority w:val="1"/>
    <w:rPr>
      <w:rFonts w:asciiTheme="minorHAnsi" w:hAnsiTheme="minorHAnsi" w:eastAsiaTheme="minorEastAsia" w:cstheme="minorBidi"/>
      <w:kern w:val="0"/>
      <w:sz w:val="22"/>
      <w:szCs w:val="22"/>
      <w:lang w:val="en-US" w:eastAsia="zh-CN" w:bidi="ar-SA"/>
    </w:rPr>
  </w:style>
  <w:style w:type="paragraph" w:customStyle="1" w:styleId="19">
    <w:name w:val="DefaultParagraph"/>
    <w:qFormat/>
    <w:uiPriority w:val="0"/>
    <w:rPr>
      <w:rFonts w:ascii="Times New Roman" w:hAnsi="Times New Roman" w:eastAsia="宋体" w:cs="Times New Roman"/>
      <w:kern w:val="2"/>
      <w:sz w:val="21"/>
      <w:szCs w:val="22"/>
      <w:lang w:val="en-US" w:eastAsia="zh-CN" w:bidi="ar-SA"/>
    </w:rPr>
  </w:style>
  <w:style w:type="character" w:customStyle="1" w:styleId="20">
    <w:name w:val="批注框文本 Char1"/>
    <w:basedOn w:val="7"/>
    <w:semiHidden/>
    <w:qFormat/>
    <w:uiPriority w:val="99"/>
    <w:rPr>
      <w:sz w:val="18"/>
      <w:szCs w:val="18"/>
    </w:rPr>
  </w:style>
  <w:style w:type="paragraph" w:styleId="21">
    <w:name w:val="List Paragraph"/>
    <w:basedOn w:val="1"/>
    <w:qFormat/>
    <w:uiPriority w:val="34"/>
    <w:pPr>
      <w:ind w:firstLine="420" w:firstLineChars="200"/>
    </w:pPr>
  </w:style>
  <w:style w:type="paragraph" w:customStyle="1" w:styleId="22">
    <w:name w:val="列出段落1"/>
    <w:basedOn w:val="1"/>
    <w:qFormat/>
    <w:uiPriority w:val="34"/>
    <w:pPr>
      <w:ind w:firstLine="420" w:firstLineChars="200"/>
    </w:pPr>
    <w:rPr>
      <w:rFonts w:ascii="Times New Roman" w:hAnsi="Times New Roman" w:eastAsia="宋体" w:cs="Times New Roman"/>
      <w:szCs w:val="24"/>
    </w:rPr>
  </w:style>
  <w:style w:type="character" w:customStyle="1" w:styleId="23">
    <w:name w:val="apple-converted-space"/>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Documents%2520and%2520Settings/Administrator/Application%2520Data/Tencent/Users/1848898271/QQ/WinTemp/RichOle/~ZN94Y0K1WWI7I48P%25258%255bHZS.png" TargetMode="External"/><Relationship Id="rId8" Type="http://schemas.openxmlformats.org/officeDocument/2006/relationships/image" Target="media/image3.png"/><Relationship Id="rId7" Type="http://schemas.openxmlformats.org/officeDocument/2006/relationships/image" Target="../../../../../../Documents%2520and%2520Settings/Administrator/Application%2520Data/Tencent/Users/992860717/QQ/WinTemp/RichOle/DV6(4(6M2T%2560B8HW73@E9SVU.png"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226993865031"/>
          <c:y val="0.185344827586207"/>
          <c:w val="0.871165644171779"/>
          <c:h val="0.672413793103448"/>
        </c:manualLayout>
      </c:layout>
      <c:lineChart>
        <c:grouping val="standard"/>
        <c:varyColors val="0"/>
        <c:ser>
          <c:idx val="0"/>
          <c:order val="0"/>
          <c:tx>
            <c:strRef>
              <c:f>Sheet1!$A$2</c:f>
              <c:strCache>
                <c:ptCount val="1"/>
                <c:pt idx="0">
                  <c:v>居民</c:v>
                </c:pt>
              </c:strCache>
            </c:strRef>
          </c:tx>
          <c:spPr>
            <a:ln w="12699" cap="rnd" cmpd="sng" algn="ctr">
              <a:solidFill>
                <a:srgbClr val="000080"/>
              </a:solidFill>
              <a:prstDash val="solid"/>
              <a:round/>
            </a:ln>
          </c:spPr>
          <c:marker>
            <c:symbol val="diamond"/>
            <c:size val="4"/>
            <c:spPr>
              <a:solidFill>
                <a:srgbClr val="000080"/>
              </a:solidFill>
              <a:ln w="6350" cap="flat" cmpd="sng" algn="ctr">
                <a:solidFill>
                  <a:srgbClr val="000080"/>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Sheet1!$B$2:$I$2</c:f>
              <c:numCache>
                <c:formatCode>General</c:formatCode>
                <c:ptCount val="8"/>
                <c:pt idx="0">
                  <c:v>65</c:v>
                </c:pt>
                <c:pt idx="1">
                  <c:v>66</c:v>
                </c:pt>
                <c:pt idx="2">
                  <c:v>64</c:v>
                </c:pt>
                <c:pt idx="3">
                  <c:v>58</c:v>
                </c:pt>
                <c:pt idx="4">
                  <c:v>59</c:v>
                </c:pt>
                <c:pt idx="5">
                  <c:v>58</c:v>
                </c:pt>
                <c:pt idx="6">
                  <c:v>57</c:v>
                </c:pt>
                <c:pt idx="7">
                  <c:v>56</c:v>
                </c:pt>
              </c:numCache>
            </c:numRef>
          </c:val>
          <c:smooth val="0"/>
        </c:ser>
        <c:ser>
          <c:idx val="1"/>
          <c:order val="1"/>
          <c:tx>
            <c:strRef>
              <c:f>Sheet1!$A$3</c:f>
              <c:strCache>
                <c:ptCount val="1"/>
                <c:pt idx="0">
                  <c:v>政府</c:v>
                </c:pt>
              </c:strCache>
            </c:strRef>
          </c:tx>
          <c:spPr>
            <a:ln w="12699" cap="rnd" cmpd="sng" algn="ctr">
              <a:solidFill>
                <a:srgbClr val="FF00FF"/>
              </a:solidFill>
              <a:prstDash val="solid"/>
              <a:round/>
            </a:ln>
          </c:spPr>
          <c:marker>
            <c:symbol val="square"/>
            <c:size val="4"/>
            <c:spPr>
              <a:solidFill>
                <a:srgbClr val="FF00FF"/>
              </a:solidFill>
              <a:ln w="6350" cap="flat" cmpd="sng" algn="ctr">
                <a:solidFill>
                  <a:srgbClr val="FF00FF"/>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Sheet1!$B$3:$I$3</c:f>
              <c:numCache>
                <c:formatCode>General</c:formatCode>
                <c:ptCount val="8"/>
                <c:pt idx="0">
                  <c:v>10</c:v>
                </c:pt>
                <c:pt idx="1">
                  <c:v>9</c:v>
                </c:pt>
                <c:pt idx="2">
                  <c:v>13</c:v>
                </c:pt>
                <c:pt idx="3">
                  <c:v>15</c:v>
                </c:pt>
                <c:pt idx="4">
                  <c:v>16</c:v>
                </c:pt>
                <c:pt idx="5">
                  <c:v>15</c:v>
                </c:pt>
                <c:pt idx="6">
                  <c:v>16</c:v>
                </c:pt>
                <c:pt idx="7">
                  <c:v>17</c:v>
                </c:pt>
              </c:numCache>
            </c:numRef>
          </c:val>
          <c:smooth val="0"/>
        </c:ser>
        <c:ser>
          <c:idx val="3"/>
          <c:order val="2"/>
          <c:tx>
            <c:strRef>
              <c:f>Sheet1!$A$4</c:f>
              <c:strCache>
                <c:ptCount val="1"/>
                <c:pt idx="0">
                  <c:v>企业</c:v>
                </c:pt>
              </c:strCache>
            </c:strRef>
          </c:tx>
          <c:spPr>
            <a:ln w="12699" cap="rnd" cmpd="sng" algn="ctr">
              <a:solidFill>
                <a:srgbClr val="800000"/>
              </a:solidFill>
              <a:prstDash val="solid"/>
              <a:round/>
            </a:ln>
          </c:spPr>
          <c:marker>
            <c:symbol val="triangle"/>
            <c:size val="4"/>
            <c:spPr>
              <a:noFill/>
              <a:ln w="6350" cap="flat" cmpd="sng" algn="ctr">
                <a:solidFill>
                  <a:srgbClr val="0000FF"/>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Sheet1!$B$4:$I$4</c:f>
              <c:numCache>
                <c:formatCode>General</c:formatCode>
                <c:ptCount val="8"/>
                <c:pt idx="0">
                  <c:v>15</c:v>
                </c:pt>
                <c:pt idx="1">
                  <c:v>17</c:v>
                </c:pt>
                <c:pt idx="2">
                  <c:v>20</c:v>
                </c:pt>
                <c:pt idx="3">
                  <c:v>23</c:v>
                </c:pt>
                <c:pt idx="4">
                  <c:v>22</c:v>
                </c:pt>
                <c:pt idx="5">
                  <c:v>21</c:v>
                </c:pt>
                <c:pt idx="6">
                  <c:v>22</c:v>
                </c:pt>
                <c:pt idx="7">
                  <c:v>21</c:v>
                </c:pt>
              </c:numCache>
            </c:numRef>
          </c:val>
          <c:smooth val="0"/>
        </c:ser>
        <c:dLbls>
          <c:showLegendKey val="0"/>
          <c:showVal val="0"/>
          <c:showCatName val="0"/>
          <c:showSerName val="0"/>
          <c:showPercent val="0"/>
          <c:showBubbleSize val="0"/>
        </c:dLbls>
        <c:marker val="1"/>
        <c:smooth val="0"/>
        <c:axId val="386435464"/>
        <c:axId val="386435856"/>
      </c:lineChart>
      <c:catAx>
        <c:axId val="386435464"/>
        <c:scaling>
          <c:orientation val="minMax"/>
        </c:scaling>
        <c:delete val="0"/>
        <c:axPos val="b"/>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86435856"/>
        <c:crosses val="autoZero"/>
        <c:auto val="1"/>
        <c:lblAlgn val="ctr"/>
        <c:lblOffset val="100"/>
        <c:tickLblSkip val="1"/>
        <c:noMultiLvlLbl val="0"/>
      </c:catAx>
      <c:valAx>
        <c:axId val="386435856"/>
        <c:scaling>
          <c:orientation val="minMax"/>
          <c:max val="70"/>
        </c:scaling>
        <c:delete val="0"/>
        <c:axPos val="l"/>
        <c:majorGridlines>
          <c:spPr>
            <a:ln w="3175" cap="flat" cmpd="sng" algn="ctr">
              <a:solidFill>
                <a:srgbClr val="000000"/>
              </a:solidFill>
              <a:prstDash val="solid"/>
              <a:round/>
            </a:ln>
          </c:spPr>
        </c:majorGridlines>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86435464"/>
        <c:crosses val="autoZero"/>
        <c:crossBetween val="between"/>
      </c:valAx>
      <c:spPr>
        <a:solidFill>
          <a:srgbClr val="FFFFFF"/>
        </a:solidFill>
        <a:ln w="25398">
          <a:noFill/>
        </a:ln>
      </c:spPr>
    </c:plotArea>
    <c:legend>
      <c:legendPos val="t"/>
      <c:layout>
        <c:manualLayout>
          <c:xMode val="edge"/>
          <c:yMode val="edge"/>
          <c:x val="0.263803680981595"/>
          <c:y val="0.0129310344827586"/>
          <c:w val="0.539877300613497"/>
          <c:h val="0.0818965517241379"/>
        </c:manualLayout>
      </c:layout>
      <c:overlay val="0"/>
      <c:spPr>
        <a:noFill/>
        <a:ln w="3175">
          <a:solidFill>
            <a:srgbClr val="000000"/>
          </a:solidFill>
          <a:prstDash val="solid"/>
        </a:ln>
      </c:spPr>
      <c:txPr>
        <a:bodyPr rot="0" spcFirstLastPara="0" vertOverflow="ellipsis" vert="horz" wrap="square" anchor="ctr" anchorCtr="1"/>
        <a:lstStyle/>
        <a:p>
          <a:pPr>
            <a:defRPr lang="zh-CN" sz="73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noFill/>
    <a:ln w="6350" cap="flat" cmpd="sng" algn="ctr">
      <a:noFill/>
      <a:prstDash val="solid"/>
      <a:round/>
    </a:ln>
  </c:spPr>
  <c:txPr>
    <a:bodyPr/>
    <a:lstStyle/>
    <a:p>
      <a:pPr>
        <a:defRPr lang="zh-CN" sz="105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917431192661"/>
          <c:y val="0.179916317991632"/>
          <c:w val="0.871559633027523"/>
          <c:h val="0.682008368200837"/>
        </c:manualLayout>
      </c:layout>
      <c:lineChart>
        <c:grouping val="standard"/>
        <c:varyColors val="0"/>
        <c:ser>
          <c:idx val="0"/>
          <c:order val="0"/>
          <c:tx>
            <c:strRef>
              <c:f>Sheet1!$A$2</c:f>
              <c:strCache>
                <c:ptCount val="1"/>
                <c:pt idx="0">
                  <c:v>居民</c:v>
                </c:pt>
              </c:strCache>
            </c:strRef>
          </c:tx>
          <c:spPr>
            <a:ln w="12699" cap="rnd" cmpd="sng" algn="ctr">
              <a:solidFill>
                <a:srgbClr val="000080"/>
              </a:solidFill>
              <a:prstDash val="solid"/>
              <a:round/>
            </a:ln>
          </c:spPr>
          <c:marker>
            <c:symbol val="diamond"/>
            <c:size val="4"/>
            <c:spPr>
              <a:solidFill>
                <a:srgbClr val="000080"/>
              </a:solidFill>
              <a:ln w="6350" cap="flat" cmpd="sng" algn="ctr">
                <a:solidFill>
                  <a:srgbClr val="000080"/>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Sheet1!$B$2:$I$2</c:f>
              <c:numCache>
                <c:formatCode>General</c:formatCode>
                <c:ptCount val="8"/>
                <c:pt idx="0">
                  <c:v>66</c:v>
                </c:pt>
                <c:pt idx="1">
                  <c:v>65</c:v>
                </c:pt>
                <c:pt idx="2">
                  <c:v>64</c:v>
                </c:pt>
                <c:pt idx="3">
                  <c:v>55</c:v>
                </c:pt>
                <c:pt idx="4">
                  <c:v>54</c:v>
                </c:pt>
                <c:pt idx="5">
                  <c:v>53</c:v>
                </c:pt>
                <c:pt idx="6">
                  <c:v>52</c:v>
                </c:pt>
                <c:pt idx="7">
                  <c:v>51</c:v>
                </c:pt>
              </c:numCache>
            </c:numRef>
          </c:val>
          <c:smooth val="0"/>
        </c:ser>
        <c:ser>
          <c:idx val="1"/>
          <c:order val="1"/>
          <c:tx>
            <c:strRef>
              <c:f>Sheet1!$A$3</c:f>
              <c:strCache>
                <c:ptCount val="1"/>
                <c:pt idx="0">
                  <c:v>政府</c:v>
                </c:pt>
              </c:strCache>
            </c:strRef>
          </c:tx>
          <c:spPr>
            <a:ln w="12699" cap="rnd" cmpd="sng" algn="ctr">
              <a:solidFill>
                <a:srgbClr val="FF00FF"/>
              </a:solidFill>
              <a:prstDash val="solid"/>
              <a:round/>
            </a:ln>
          </c:spPr>
          <c:marker>
            <c:symbol val="square"/>
            <c:size val="4"/>
            <c:spPr>
              <a:solidFill>
                <a:srgbClr val="FF00FF"/>
              </a:solidFill>
              <a:ln w="6350" cap="flat" cmpd="sng" algn="ctr">
                <a:solidFill>
                  <a:srgbClr val="FF00FF"/>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Sheet1!$B$3:$I$3</c:f>
              <c:numCache>
                <c:formatCode>General</c:formatCode>
                <c:ptCount val="8"/>
                <c:pt idx="0">
                  <c:v>29</c:v>
                </c:pt>
                <c:pt idx="1">
                  <c:v>22</c:v>
                </c:pt>
                <c:pt idx="2">
                  <c:v>30</c:v>
                </c:pt>
                <c:pt idx="3">
                  <c:v>29</c:v>
                </c:pt>
                <c:pt idx="4">
                  <c:v>30</c:v>
                </c:pt>
                <c:pt idx="5">
                  <c:v>29</c:v>
                </c:pt>
                <c:pt idx="6">
                  <c:v>30</c:v>
                </c:pt>
                <c:pt idx="7">
                  <c:v>31</c:v>
                </c:pt>
              </c:numCache>
            </c:numRef>
          </c:val>
          <c:smooth val="0"/>
        </c:ser>
        <c:ser>
          <c:idx val="3"/>
          <c:order val="2"/>
          <c:tx>
            <c:strRef>
              <c:f>Sheet1!$A$4</c:f>
              <c:strCache>
                <c:ptCount val="1"/>
                <c:pt idx="0">
                  <c:v>企业</c:v>
                </c:pt>
              </c:strCache>
            </c:strRef>
          </c:tx>
          <c:spPr>
            <a:ln w="12699" cap="rnd" cmpd="sng" algn="ctr">
              <a:solidFill>
                <a:srgbClr val="800000"/>
              </a:solidFill>
              <a:prstDash val="solid"/>
              <a:round/>
            </a:ln>
          </c:spPr>
          <c:marker>
            <c:symbol val="triangle"/>
            <c:size val="4"/>
            <c:spPr>
              <a:noFill/>
              <a:ln w="6350" cap="flat" cmpd="sng" algn="ctr">
                <a:solidFill>
                  <a:srgbClr val="0000FF"/>
                </a:solidFill>
                <a:prstDash val="solid"/>
                <a:round/>
              </a:ln>
            </c:spPr>
          </c:marker>
          <c:dLbls>
            <c:delete val="1"/>
          </c:dLbls>
          <c:cat>
            <c:numRef>
              <c:f>Sheet1!$B$1:$I$1</c:f>
              <c:numCache>
                <c:formatCode>General</c:formatCode>
                <c:ptCount val="8"/>
                <c:pt idx="0">
                  <c:v>1992</c:v>
                </c:pt>
                <c:pt idx="1">
                  <c:v>1995</c:v>
                </c:pt>
                <c:pt idx="2">
                  <c:v>2000</c:v>
                </c:pt>
                <c:pt idx="3">
                  <c:v>2005</c:v>
                </c:pt>
                <c:pt idx="4">
                  <c:v>2006</c:v>
                </c:pt>
                <c:pt idx="5">
                  <c:v>2007</c:v>
                </c:pt>
                <c:pt idx="6">
                  <c:v>2008</c:v>
                </c:pt>
                <c:pt idx="7">
                  <c:v>2009</c:v>
                </c:pt>
              </c:numCache>
            </c:numRef>
          </c:cat>
          <c:val>
            <c:numRef>
              <c:f>Sheet1!$B$4:$I$4</c:f>
              <c:numCache>
                <c:formatCode>General</c:formatCode>
                <c:ptCount val="8"/>
                <c:pt idx="0">
                  <c:v>4</c:v>
                </c:pt>
                <c:pt idx="1">
                  <c:v>9</c:v>
                </c:pt>
                <c:pt idx="2">
                  <c:v>7</c:v>
                </c:pt>
                <c:pt idx="3">
                  <c:v>13</c:v>
                </c:pt>
                <c:pt idx="4">
                  <c:v>13</c:v>
                </c:pt>
                <c:pt idx="5">
                  <c:v>11</c:v>
                </c:pt>
                <c:pt idx="6">
                  <c:v>12</c:v>
                </c:pt>
                <c:pt idx="7">
                  <c:v>13</c:v>
                </c:pt>
              </c:numCache>
            </c:numRef>
          </c:val>
          <c:smooth val="0"/>
        </c:ser>
        <c:dLbls>
          <c:showLegendKey val="0"/>
          <c:showVal val="0"/>
          <c:showCatName val="0"/>
          <c:showSerName val="0"/>
          <c:showPercent val="0"/>
          <c:showBubbleSize val="0"/>
        </c:dLbls>
        <c:marker val="1"/>
        <c:smooth val="0"/>
        <c:axId val="386436640"/>
        <c:axId val="386437032"/>
      </c:lineChart>
      <c:catAx>
        <c:axId val="386436640"/>
        <c:scaling>
          <c:orientation val="minMax"/>
        </c:scaling>
        <c:delete val="0"/>
        <c:axPos val="b"/>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86437032"/>
        <c:crosses val="autoZero"/>
        <c:auto val="1"/>
        <c:lblAlgn val="ctr"/>
        <c:lblOffset val="100"/>
        <c:tickLblSkip val="1"/>
        <c:noMultiLvlLbl val="0"/>
      </c:catAx>
      <c:valAx>
        <c:axId val="386437032"/>
        <c:scaling>
          <c:orientation val="minMax"/>
          <c:max val="70"/>
        </c:scaling>
        <c:delete val="0"/>
        <c:axPos val="l"/>
        <c:majorGridlines>
          <c:spPr>
            <a:ln w="3175" cap="flat" cmpd="sng" algn="ctr">
              <a:solidFill>
                <a:srgbClr val="000000"/>
              </a:solidFill>
              <a:prstDash val="solid"/>
              <a:round/>
            </a:ln>
          </c:spPr>
        </c:majorGridlines>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86436640"/>
        <c:crosses val="autoZero"/>
        <c:crossBetween val="between"/>
      </c:valAx>
      <c:spPr>
        <a:solidFill>
          <a:srgbClr val="FFFFFF"/>
        </a:solidFill>
        <a:ln w="25399">
          <a:noFill/>
        </a:ln>
      </c:spPr>
    </c:plotArea>
    <c:legend>
      <c:legendPos val="t"/>
      <c:layout>
        <c:manualLayout>
          <c:xMode val="edge"/>
          <c:yMode val="edge"/>
          <c:x val="0.262996941896024"/>
          <c:y val="0.0125523012552301"/>
          <c:w val="0.53822629969419"/>
          <c:h val="0.0794979079497908"/>
        </c:manualLayout>
      </c:layout>
      <c:overlay val="0"/>
      <c:spPr>
        <a:noFill/>
        <a:ln w="3175">
          <a:solidFill>
            <a:srgbClr val="000000"/>
          </a:solidFill>
          <a:prstDash val="solid"/>
        </a:ln>
      </c:spPr>
      <c:txPr>
        <a:bodyPr rot="0" spcFirstLastPara="0" vertOverflow="ellipsis" vert="horz" wrap="square" anchor="ctr" anchorCtr="1"/>
        <a:lstStyle/>
        <a:p>
          <a:pPr>
            <a:defRPr lang="zh-CN" sz="73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noFill/>
    <a:ln w="6350" cap="flat" cmpd="sng" algn="ctr">
      <a:noFill/>
      <a:prstDash val="solid"/>
      <a:round/>
    </a:ln>
  </c:spPr>
  <c:txPr>
    <a:bodyPr/>
    <a:lstStyle/>
    <a:p>
      <a:pPr>
        <a:defRPr lang="zh-CN" sz="105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4359</Words>
  <Characters>4621</Characters>
  <Lines>243</Lines>
  <Paragraphs>345</Paragraphs>
  <TotalTime>0</TotalTime>
  <ScaleCrop>false</ScaleCrop>
  <LinksUpToDate>false</LinksUpToDate>
  <CharactersWithSpaces>8635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2019-04-10T10:58:00Z</dcterms:created>
  <dc:creator>Administrator</dc:creator>
  <cp:lastModifiedBy>Administrator</cp:lastModifiedBy>
  <dcterms:modified xsi:type="dcterms:W3CDTF">2019-06-13T08:18:18Z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