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color="auto" w:fill="FFFFFF"/>
        <w:wordWrap w:val="0"/>
        <w:spacing w:before="0" w:beforeAutospacing="0" w:after="0" w:afterAutospacing="0" w:line="240" w:lineRule="auto"/>
        <w:ind w:left="0" w:right="0" w:firstLine="0"/>
        <w:jc w:val="center"/>
        <w:rPr>
          <w:rFonts w:ascii="新宋体" w:hAnsi="新宋体" w:eastAsia="新宋体" w:cs="新宋体"/>
          <w:b/>
          <w:i w:val="0"/>
          <w:caps w:val="0"/>
          <w:color w:val="000000" w:themeColor="text1"/>
          <w:spacing w:val="0"/>
          <w:kern w:val="0"/>
          <w:sz w:val="24"/>
          <w:szCs w:val="24"/>
          <w:shd w:val="clear" w:color="auto" w:fill="FFFFFF"/>
          <w:lang w:val="en-US" w:eastAsia="zh-CN"/>
          <w14:textFill>
            <w14:solidFill>
              <w14:schemeClr w14:val="tx1"/>
            </w14:solidFill>
          </w14:textFill>
        </w:rPr>
      </w:pPr>
      <w:r>
        <w:rPr>
          <w:rStyle w:val="4"/>
          <w:rFonts w:hint="eastAsia" w:ascii="黑体" w:hAnsi="����" w:eastAsia="黑体" w:cs="黑体"/>
          <w:b/>
          <w:i w:val="0"/>
          <w:caps w:val="0"/>
          <w:color w:val="000000" w:themeColor="text1"/>
          <w:spacing w:val="0"/>
          <w:sz w:val="36"/>
          <w:szCs w:val="36"/>
          <w:shd w:val="clear" w:color="auto" w:fill="FFFFFF"/>
          <w:lang w:eastAsia="zh-CN"/>
          <w14:textFill>
            <w14:solidFill>
              <w14:schemeClr w14:val="tx1"/>
            </w14:solidFill>
          </w14:textFill>
        </w:rPr>
        <w:pict>
          <v:shape id="_x0000_s1025" o:spid="_x0000_s1025" o:spt="75" type="#_x0000_t75" style="position:absolute;left:0pt;margin-left:907pt;margin-top:952pt;height:35pt;width:30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Style w:val="4"/>
          <w:rFonts w:hint="eastAsia" w:ascii="黑体" w:hAnsi="����" w:eastAsia="黑体" w:cs="黑体"/>
          <w:b/>
          <w:i w:val="0"/>
          <w:caps w:val="0"/>
          <w:color w:val="000000" w:themeColor="text1"/>
          <w:spacing w:val="0"/>
          <w:sz w:val="36"/>
          <w:szCs w:val="36"/>
          <w:shd w:val="clear" w:color="auto" w:fill="FFFFFF"/>
          <w:lang w:eastAsia="zh-CN"/>
          <w14:textFill>
            <w14:solidFill>
              <w14:schemeClr w14:val="tx1"/>
            </w14:solidFill>
          </w14:textFill>
        </w:rPr>
        <w:t>梅州市梅县区丙村中学高</w:t>
      </w:r>
      <w:r>
        <w:rPr>
          <w:rStyle w:val="4"/>
          <w:rFonts w:ascii="黑体" w:hAnsi="����" w:eastAsia="黑体" w:cs="黑体"/>
          <w:b/>
          <w:i w:val="0"/>
          <w:caps w:val="0"/>
          <w:color w:val="000000" w:themeColor="text1"/>
          <w:spacing w:val="0"/>
          <w:sz w:val="36"/>
          <w:szCs w:val="36"/>
          <w:shd w:val="clear" w:color="auto" w:fill="FFFFFF"/>
          <w14:textFill>
            <w14:solidFill>
              <w14:schemeClr w14:val="tx1"/>
            </w14:solidFill>
          </w14:textFill>
        </w:rPr>
        <w:t>一下期末政治教学质检题</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bCs/>
          <w:i w:val="0"/>
          <w:caps w:val="0"/>
          <w:color w:val="000000" w:themeColor="text1"/>
          <w:spacing w:val="0"/>
          <w:kern w:val="0"/>
          <w:sz w:val="32"/>
          <w:szCs w:val="32"/>
          <w:shd w:val="clear" w:color="auto" w:fill="FFFFFF"/>
          <w:lang w:val="en-US" w:eastAsia="zh-CN"/>
          <w14:textFill>
            <w14:solidFill>
              <w14:schemeClr w14:val="tx1"/>
            </w14:solidFill>
          </w14:textFill>
        </w:rPr>
      </w:pPr>
      <w:r>
        <w:rPr>
          <w:rFonts w:hint="eastAsia" w:ascii="新宋体" w:hAnsi="新宋体" w:eastAsia="新宋体" w:cs="新宋体"/>
          <w:b/>
          <w:bCs/>
          <w:i w:val="0"/>
          <w:caps w:val="0"/>
          <w:color w:val="000000" w:themeColor="text1"/>
          <w:spacing w:val="0"/>
          <w:kern w:val="0"/>
          <w:sz w:val="32"/>
          <w:szCs w:val="32"/>
          <w:shd w:val="clear" w:color="auto" w:fill="FFFFFF"/>
          <w:lang w:val="en-US" w:eastAsia="zh-CN"/>
          <w14:textFill>
            <w14:solidFill>
              <w14:schemeClr w14:val="tx1"/>
            </w14:solidFill>
          </w14:textFill>
        </w:rPr>
        <w:t>一、单项选择（24×2＝48分）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1.2018年8月27日至9月1日，中央扫黑除恶专项斗争9个督导组完成对山西、辽宁、福建、山东、河南、湖北、广东、重庆、四川等九省(市)的进驻工作，标志着中央扫黑除恶专项斗争第一轮督导工作全面启动。开展扫黑除恶专项斗争：</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①是在坚持专政职能，维护国家长治久安</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②体现我国人民民主专政是最管用的民主</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③体现我国坚持依法治国，对人民实行民主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④是在依法打击违法犯罪，维护社会稳定</w:t>
      </w:r>
    </w:p>
    <w:p>
      <w:pPr>
        <w:keepNext w:val="0"/>
        <w:keepLines w:val="0"/>
        <w:widowControl/>
        <w:suppressLineNumbers w:val="0"/>
        <w:shd w:val="clear" w:color="auto" w:fill="FFFFFF"/>
        <w:wordWrap w:val="0"/>
        <w:spacing w:before="0" w:beforeAutospacing="0" w:after="0" w:afterAutospacing="0" w:line="240" w:lineRule="auto"/>
        <w:ind w:left="0" w:right="0" w:firstLine="48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A.①③                  B.①④     C.②③               D.②④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2.下列措施能有效提高某市政府权威的是(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①市城乡规划局落实科学发展观，推进既有住宅增设电梯的实施方案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②市委召开党外人士座谈会，共商该市经济和社会发展的大计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③某村委会依法积极引导村民合理利用自然资源，保护和改善生态环境</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④各职能部门按《行政许可法》规定，继续推进审批方式改革</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A.①②    B.②③   C.①④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3.十九大报告指出,“要扩大人民有序政治参与,保证人民依法实行民主选举、民主协商、民主决策、民主管理、民主监督”。下列对我国公民政治参与的说法正确的有：</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①公民可以通过直接投票方式选举各级人大代表</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②公民民主监督意识增强是制约权力滥用的关键</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③公民广泛参与民主协商能増进共识、增强合力</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④公民可以通过基层群众自治组织参与民主管理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A.①②              B.①④               C.②③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4.政治性是党的本质属性，政治建设是党的基础建设。党的十九大明确提出党的政治建设这个重大命题，强调党的政治建设是党的根本性建设，要把党的政治建设摆在首位，以党的政治建设为统领。加强党的政治建设是(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①保持中国共产党政治先进性和思想上纯洁性的固本工程</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②决定党的建设方向和效果的政治前提，是党的其他建设的核心枢纽</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③因为在中国，没有共产党就没有新中国</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④因为中国共产党是中国特色社会主义建设的领导核心</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A.①②    B.②③   C.②④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5.2018年6月12日至14日,全国人大常委会执法检查组在福建开展执法检查,听取了福建省人民政府关于贯彻实施传染病防治法的情况汇报,并围绕传染病防治法普法情况、传染病防治体系建设情况、经费保障机制和人员队伍建设情况等进行了实地检查。本次执法检查(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①为健康中国战略的落实提供良好的法治环境</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②会监督并促进传染病防治法的有效实施</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③说明全国人大常委会履行民主监督职能</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④反映了人大代表依法对政府机关提出质询</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A.①②    B.①④   C.②③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6.“金鱼缸效应”也叫“透明效应”，用玻璃做的金鱼缸，透明度高，不论从哪个角度观察，里面的情况都一清二楚。常常用来比喻一种透明度极高的民主管理模式。下列做法中有助于实现“金鱼缸效应”的是：</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①提高政府行政效能  ②公布政府权力清单  ③减少行政审批项目  ④完善政府信息公开</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A.①②         B.②③              C.②④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7.习近平新年贺词中一句“我最牵挂的还是困难群众”，温暖了无数人的心。近年来，我国不断加大补短板力度，2018年中央财政专项扶贫资金增幅达到43.4％，2019年该项资金将进一步保持高速增长。做到不让一个困难群众掉队，要求政府：</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①落实以人民为中心的发展理念，坚持求真务实的工作态度</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②勇于负责敢于担当，坚决纠正不作为、乱作为、懒政、怠政</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③坚持共享发展理念，让精准扶贫各项政策进一步落地生根</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④处理好自身利益和人民利益关系，实现基本公共服务平均化</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A.①②            B.②③                C.①④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8.香港特区政府9月24日宣布，即时禁止以“港独”为宗旨的所谓“香港民族党”的运作，同时强调:香港市民享有法律保障的结社和言论自由,但这些自由并非没有限制，必须符合相关法律法规。这表明(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①言论、结社自由是香港市民当家作主权利的重要方式</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②法律把自由的意志转化为自由的权利,并确认其地位</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③任何自由都是有限度的，自由的边界由法律所确认</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④特区政府行使高度自治权，依法遏制“港独”分裂势力</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A.①②    B.①③   C.②④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9.数字政府是以现代技术为支撑，政府事务在数字化、网络化环境下进行的管理形式。2018中国电子政务论坛强调，通过内外互动、左右协同、上下联动的一体化平台，实现“政民互动”，群众可以点评政府部门、工作人员的服务质量。可见，数字政府建设有利于：</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①推动社会治理智能化，促进社会治理能力现代化</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②加大对政府的监督力度，打造廉洁、高效的阳光政府</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③推动政府简政放权，提高政府决策效率</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④完善监督体系，让权力在阳光下运行</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A.①②        B.①④      C.②③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10.李克强总理曾在国务院常务会议上强调：“如果不按市场规律，完全由政府‘计划’，那可能会造成同质化竞争，甚至出现‘面子工程’。政府要做好自己该做的工作，营造好的市场环境，调动全社会的积极性。”这表明我国政府(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①需要不断降低对市场的监管力度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②要通过简政放权促进职能转变</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③坚持审慎用权，服务意识不断增强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④加强社会建设，提供基本公共服务</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A.①③    B.①④   C.②③    D.②④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11.2018年国务院大督查坚持开门督查，首次邀请全国人大代表、全国政协委员参加。代表委员用脚步丈量大地、用真心倾听民情，增强了督查力量，也提升了工作含金量。邀请全国人大代表、全国政协委员参加督查：</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①旨在提高社会对政府督查工作的参与度</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②有利于转变督查作风提升督查工作实效</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③拓宽了人大代表和政协委员行使职能的途径</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④将人大的民主监督和政协的法律监督有效结合</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A.①③      B.①④         C.②③    </w:t>
      </w:r>
      <w:bookmarkStart w:id="3" w:name="_GoBack"/>
      <w:bookmarkEnd w:id="3"/>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12.2018年7月15日下午，国家药品监督管理局通报对长春长生生物科技有限责任公司生产现场进行检查发现，该公司在冻干人用狂犬疫苗生产过程中存在记录造假。中共中央政治局就长生生物疫苗案件作出重要指示，对那些利欲熏心、无视规则的不法企业，对那些敢于挑战道德和良知底线的人，要严厉打击，从严重判，绝不姑息。这体现了(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①要坚决守住安全底线，全力保障群众切身利益</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②政府以人为本执政为民，行使经济建设职能</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③党不断扩大职能范围，推进依法治国进程</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④党把人民利益放首位，领导打击违法行为</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A.①②    B. ②③   C. ①④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十三届全国人大一次会议审议通过了国家监察法，设立国家监察委员会，依法行使监察权。据此回答13～14题。</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13.监察委员会由本级人民代表大会产生，对本级人民代表大会及其常务委员会和上一级监察委员会负责，并接受监督。成立监察委员会有利于：</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①有效惩治和防范腐败，使公权力更好地服务人民</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②整合国家监察资源，做到严格执法、公正司法</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③推动建立严密的监督体系，提高监督权威和效率</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④与其他国家机关相互制约，相互配合，相互监督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A.①④    B.②③       C.①③       D.②④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14.2018年12月17日，国家监察委召开第一届特约监察员聘任会议。国家监察委聘任“特约监察员”正是对“监督者更要接受监督”这一理念的生动诠释，充分显示了监察机关主动接受监督，自觉支持监督的鲜明态度。设立“特约监察员”表明：</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①规范行使监察权，需要自觉接受外部监督②行政机关及其工作人员的权利受到监督约束</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③对行使公权力的人员实现了监察全覆盖  ④发挥群众优势可以弥补监察机关工作盲区</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A.①④      B.②③     C.①③          D.②④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15.2018年国家海洋局提出要加快“湾长制”试点推向全国。从“河长制”、“湖长制”到“湾长制”，都是破解管理体制机制藩篱.压实海洋生态环境保护主体责任的制度创新，有利于建立健全陆海统筹，河海兼顾、分工明确.协同共治的水资源管理运行机制。这一做法(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①践行了权责--致的原则，促进了水资源的安全</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②反映了党和政府切实履行椎进生态文明建设的职能</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③旨在完善治水管理体制，提高水资源治理成效</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④增加了政府治水的权限，强化了水资源管理责任的落实</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A.①②    B.①③   C.②④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16.针对人民陪审员制度，民革中央建议降低人民陪审员门槛，推行和扩大人民陪审团制度试点，将更贴近人民生活、与人民衣食住行相关的案件交由审判员与人民陪审员组成的合议庭进行审理。民革中央积极建言献策有助于：</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A.强化民主监督，确保审判公正、公开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B.赋予人民审判权，保障人民当家作主</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C.完善多党合作制度，拓宽民主党派执政渠道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D.发挥协商民主，促进科学民主决策</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17.佛教自两汉之际传入中国开始,就不断地与中国固有的思想文化、风俗习惯以及政治经济相协调。隋唐时期,它与中国传统儒学、老庄等思想相互结合,产生了禅宗等新的佛教宗派。在宋代,它与儒教、道教进一步融合,进人了以儒家为本位的三教合一的新阶段。这给我们贯彻党的宗教工作基本方针的启示是：</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A实行宗教信仰自由政策          B.坚持我国宗教中国化方向</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C.依法管理宗教事务              D.坚持独立自主自办的原则</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18.在岳阳市城区新能源高等级公交车票价格调整听证会上，消费者代表13人，经营者代表3人，市人大、市政协、市法制办、市消费者协会、学者专家各1人参与讨论。最终，21位听证代表全部同意新能源高等级公交车不分季节，全年票价实行2元/人次的调价方案。这表明(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①拓宽民意反映渠道是决策机关科学决策的前提</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②国家充分保障公民的参与权和表达权</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③公民通过社会听证制度参与民主监督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④行使表达权是公民参与国家管理的基础</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A.①②    B.①④   C.②③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19.2018年10月24日，港珠澳大桥正式开通。一桥连三地，能增强港澳人对国家的向心力，促进建设“利益共同体”。由此可见，大桥的开通：</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①有利于维护港澳的长期繁荣      ②有利于实现各民族共同繁荣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③将推动构建人类命运共同体      ④增强了港澳居民的国家认同感</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A.①②      B.①④        C.②③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20.十九大，在党中央的领导下，全党上下对党章修改一共提出了1775条意见。党章修改小组在征求了几轮意见后，对党章进行了100多处修改，顺应了新时代的要求，实现了党章的又一次与时俱进。此次党章修改：</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①为确立党的执政地位提供了理论依据</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②坚持了集中基础上的民主和民主指导下的集中相结合</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③有利于党加强自身建设，提升执政水平</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④坚持解放思想开拓创新,实现了党章又一次与时俱进</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A.①②    B.②③        C.②④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21.2017年11月30日至12月3日，120多个国家近300个政党和政治组织的领导人出席在北京举行的中国共产党与世界政党高层对话会，就如何构建人类命运共同体、共同建设美好世界以及政党的责任和作用达成广泛共识，发表了《北京倡议》。对话会的成功举办(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①开辟了政党交流合作消除国家间利益分歧的新路径</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②汇聚了携手构建人类命运共同体的强大力量</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③打造了各国政党互学互鉴共建国际新秩序的新平台</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④推动了政党之间相互尊重、求同存异的国际新秩序的形成</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A.①③    B.②③   C.②④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22.习近平指出，民主集中制包括民主和集中两个方面，两者互为条件、相辅相成、缺一不可。我们要把民主和集中有机统一起来，真正把民主集中制的优势变成我们党的政治优势、组织优势、制度优势、工作优势。下列做法体现民主与集中有机统一的是：</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①某村党支部要求支委与书记保持一致，以提高决策效率</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②某市通过价格听证会听取代表意见，形成公交调价方案</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③某领导强调要尊重本部门实际，有选择地执行上级政策</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④某地因地制宜贯彻落实中央精神，充分发挥地方积极性</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A.①③     B.①④       C.②③          D.②④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23.“相通则共进，相闭则各退”。2018年11月5日在上海举行的首届中国国际进口博览会,国家主席习近平发表题为《共建创新包容的开放型世界经济》的主旨演讲，强调各国开放合作应该做到“三个坚持”：坚持开放融通，拓展互利合作空间；坚持创新引领，加快新旧动能转换；坚持包容普惠，推动各国共同发展。这表明：</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①中国将坚定不移奉行互利共赢的开放战略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②坚持包容普惠符合世界各国的根本利益</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③我国以维护世界和平，促进共同发展为宗旨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④经济全球化深入发展合作代替冲突</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A.①②       B.②④     C.①③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24.2019年1月2日，《告台湾同胞书》发表40周年纪念会在北京举行，习近平发表重要讲话。“祖国必须统一，也必然统一”“统一是历史大势，是正道，‘台独’是历史逆流，是绝路”。实现祖国统一需要：</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①坚持一个中国原则，强调主权是国家的根本属性</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②主张和平方式实现统一，不使用武力</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③深化两岸融合发展，夯实和平统一基础</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④加强开展广泛深入的民主协商，推动两岸关系和平发展达成制度性安排</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A.①②       B.②③        C.①④       D.③④</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pP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新宋体" w:hAnsi="新宋体" w:eastAsia="新宋体" w:cs="新宋体"/>
          <w:b/>
          <w:bCs/>
          <w:i w:val="0"/>
          <w:caps w:val="0"/>
          <w:color w:val="000000" w:themeColor="text1"/>
          <w:spacing w:val="0"/>
          <w:kern w:val="0"/>
          <w:sz w:val="32"/>
          <w:szCs w:val="32"/>
          <w:shd w:val="clear" w:color="auto" w:fill="FFFFFF"/>
          <w:lang w:val="en-US" w:eastAsia="zh-CN"/>
          <w14:textFill>
            <w14:solidFill>
              <w14:schemeClr w14:val="tx1"/>
            </w14:solidFill>
          </w14:textFill>
        </w:rPr>
      </w:pPr>
      <w:r>
        <w:rPr>
          <w:rFonts w:hint="eastAsia" w:ascii="新宋体" w:hAnsi="新宋体" w:eastAsia="新宋体" w:cs="新宋体"/>
          <w:b/>
          <w:bCs/>
          <w:i w:val="0"/>
          <w:caps w:val="0"/>
          <w:color w:val="000000" w:themeColor="text1"/>
          <w:spacing w:val="0"/>
          <w:kern w:val="0"/>
          <w:sz w:val="32"/>
          <w:szCs w:val="32"/>
          <w:shd w:val="clear" w:color="auto" w:fill="FFFFFF"/>
          <w:lang w:val="en-US" w:eastAsia="zh-CN"/>
          <w14:textFill>
            <w14:solidFill>
              <w14:schemeClr w14:val="tx1"/>
            </w14:solidFill>
          </w14:textFill>
        </w:rPr>
        <w:t>二、主观题（共四大题，共56分）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25.（22分）阅读材料，完成下列要求。</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2019年中央一号文件指出，要完善乡村治理机制，增强乡村治理能力。增强乡村治理能力，必须建立健全党组织领导的自治、法治、德治相结合的领导体制和工作机制，发挥群众参与治理主体作用。大力推进“三农”工作理论创新、实践创新、制度创新，开展乡村治理体系建设试点和乡村治理示范村镇创建。加强自治组织规范化制度化建设，健全村级议事协商制度，推进村级事务公开，加强村级权力有效监督；指导农村普遍制定或修订村规民约。</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农村富不富，关键看支部；支部强不强，关键看“头羊”。村支委一班人应强化责任担当，</w:t>
      </w:r>
      <w:bookmarkStart w:id="0" w:name="_Hlk8803762"/>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自觉接受群众监督，在联系服务群众</w:t>
      </w:r>
      <w:bookmarkEnd w:id="0"/>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中使党支部的组织力大幅度提升。通过抓党建促发展，让党员群众拧成一股绳，使乡村逐步走上一条</w:t>
      </w:r>
      <w:bookmarkStart w:id="1" w:name="_Hlk8803879"/>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富裕、文明、和谐发展</w:t>
      </w:r>
      <w:bookmarkEnd w:id="1"/>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之路。</w:t>
      </w:r>
    </w:p>
    <w:p>
      <w:pPr>
        <w:keepNext w:val="0"/>
        <w:keepLines w:val="0"/>
        <w:widowControl/>
        <w:suppressLineNumbers w:val="0"/>
        <w:shd w:val="clear" w:color="auto" w:fill="FFFFFF"/>
        <w:wordWrap w:val="0"/>
        <w:spacing w:before="0" w:beforeAutospacing="0" w:after="0" w:afterAutospacing="0" w:line="240" w:lineRule="auto"/>
        <w:ind w:left="0" w:right="0" w:firstLine="602"/>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i w:val="0"/>
          <w:caps w:val="0"/>
          <w:color w:val="000000" w:themeColor="text1"/>
          <w:spacing w:val="0"/>
          <w:kern w:val="0"/>
          <w:sz w:val="24"/>
          <w:szCs w:val="24"/>
          <w:shd w:val="clear" w:color="auto" w:fill="FFFFFF"/>
          <w:lang w:val="en-US" w:eastAsia="zh-CN"/>
          <w14:textFill>
            <w14:solidFill>
              <w14:schemeClr w14:val="tx1"/>
            </w14:solidFill>
          </w14:textFill>
        </w:rPr>
        <w:t>(1)结合材料，运用政治生活的知识，从政府职能的履行角度说明应该如何增强乡村治理能力。（12分）</w:t>
      </w:r>
    </w:p>
    <w:p>
      <w:pPr>
        <w:keepNext w:val="0"/>
        <w:keepLines w:val="0"/>
        <w:widowControl/>
        <w:suppressLineNumbers w:val="0"/>
        <w:shd w:val="clear" w:color="auto" w:fill="FFFFFF"/>
        <w:wordWrap w:val="0"/>
        <w:spacing w:before="0" w:beforeAutospacing="0" w:after="0" w:afterAutospacing="0" w:line="240" w:lineRule="auto"/>
        <w:ind w:left="0" w:right="0" w:firstLine="602"/>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i w:val="0"/>
          <w:caps w:val="0"/>
          <w:color w:val="000000" w:themeColor="text1"/>
          <w:spacing w:val="0"/>
          <w:kern w:val="0"/>
          <w:sz w:val="24"/>
          <w:szCs w:val="24"/>
          <w:shd w:val="clear" w:color="auto" w:fill="FFFFFF"/>
          <w:lang w:val="en-US" w:eastAsia="zh-CN"/>
          <w14:textFill>
            <w14:solidFill>
              <w14:schemeClr w14:val="tx1"/>
            </w14:solidFill>
          </w14:textFill>
        </w:rPr>
        <w:t> </w:t>
      </w:r>
    </w:p>
    <w:p>
      <w:pPr>
        <w:keepNext w:val="0"/>
        <w:keepLines w:val="0"/>
        <w:widowControl/>
        <w:suppressLineNumbers w:val="0"/>
        <w:shd w:val="clear" w:color="auto" w:fill="FFFFFF"/>
        <w:wordWrap w:val="0"/>
        <w:spacing w:before="0" w:beforeAutospacing="0" w:after="0" w:afterAutospacing="0" w:line="240" w:lineRule="auto"/>
        <w:ind w:left="0" w:right="0" w:firstLine="602"/>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i w:val="0"/>
          <w:caps w:val="0"/>
          <w:color w:val="000000" w:themeColor="text1"/>
          <w:spacing w:val="0"/>
          <w:kern w:val="0"/>
          <w:sz w:val="24"/>
          <w:szCs w:val="24"/>
          <w:shd w:val="clear" w:color="auto" w:fill="FFFFFF"/>
          <w:lang w:val="en-US" w:eastAsia="zh-CN"/>
          <w14:textFill>
            <w14:solidFill>
              <w14:schemeClr w14:val="tx1"/>
            </w14:solidFill>
          </w14:textFill>
        </w:rPr>
        <w:t>(2)结合材料运用政治生活知识分析，村支委应该在乡村振兴中发挥怎样的领导组织作用？（10分）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26.(12分)阅读材料，完成下列要求。</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    为满足人民对美好生活的期盼，确保每件实事办到老百挂的心坎上，2018年6月，浙江省在市、县、乡三级全面实施“民生实事项目人大代表票决制”即每一年的民生项目都由人民群众提出来，由政府和人大征集和筛选，在人代会上由人大代表投票来决定，政府组织实施，实施过程和结果接受社会监督和群众评议，人大代表始终参与其中，票决前广泛听取民意、票决中充分审议、票决后跟踪调研和监管。这是一个党委领导、人大决定、政府执行、群众广泛参与、人大代表充分发挥作用的工作机制。截至6月末，浙江全省票决通过项目7024个，累计投资额3449亿元。这一实践用“看得见、摸得着、可参与”的获得感，让人民当家作主得以更好地体现，是健全国家治理体系、提升国家治理能力的有益探索。</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     </w:t>
      </w:r>
      <w:r>
        <w:rPr>
          <w:rFonts w:hint="eastAsia" w:ascii="新宋体" w:hAnsi="新宋体" w:eastAsia="新宋体" w:cs="新宋体"/>
          <w:b/>
          <w:i w:val="0"/>
          <w:caps w:val="0"/>
          <w:color w:val="000000" w:themeColor="text1"/>
          <w:spacing w:val="0"/>
          <w:kern w:val="0"/>
          <w:sz w:val="24"/>
          <w:szCs w:val="24"/>
          <w:shd w:val="clear" w:color="auto" w:fill="FFFFFF"/>
          <w:lang w:val="en-US" w:eastAsia="zh-CN"/>
          <w14:textFill>
            <w14:solidFill>
              <w14:schemeClr w14:val="tx1"/>
            </w14:solidFill>
          </w14:textFill>
        </w:rPr>
        <w:t>结合材料，运用政治生活知识，分析说明“民生实事项目人大代表票决制”为什么能够推进国家治理水平的提高。(12分)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27.(12分)阅读材料，完成下列要求。</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3月21日至26日，国家主席习近平对意大利、摩纳哥、法国进行国事访问。这是习近平主席今年首次出访，受到外界高度关注。专家认为，2019年春天将成为中欧关系的“暖春”，中欧合作将为2019年的世界注入“暖流”。</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访问意大利期间，双方进一步加强共建“一带一路”合作，努力为两国人民带来更多实实在在的利益。当前意方提出的在海上、陆地、航空、航天、文化五个方面参与‘一带一路’建设的设想正逐步实现。</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法国是最早同新中国开展务实合作的西方国家之一。两国“一带一路”合作和第三方市场合作稳步推进，核能、航空航天、农业、金融、可持续发展等领域合作不断取得新成果。</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     摩纳哥此前也表达了同中国围绕“一带一路”倡议探讨深化生态环保、清洁能源、绿色低碳等领域合作的意愿。</w:t>
      </w:r>
    </w:p>
    <w:p>
      <w:pPr>
        <w:keepNext w:val="0"/>
        <w:keepLines w:val="0"/>
        <w:widowControl/>
        <w:suppressLineNumbers w:val="0"/>
        <w:shd w:val="clear" w:color="auto" w:fill="FFFFFF"/>
        <w:wordWrap w:val="0"/>
        <w:spacing w:before="0" w:beforeAutospacing="0" w:after="0" w:afterAutospacing="0" w:line="240" w:lineRule="auto"/>
        <w:ind w:left="0" w:right="0" w:firstLine="723"/>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i w:val="0"/>
          <w:caps w:val="0"/>
          <w:color w:val="000000" w:themeColor="text1"/>
          <w:spacing w:val="0"/>
          <w:kern w:val="0"/>
          <w:sz w:val="24"/>
          <w:szCs w:val="24"/>
          <w:shd w:val="clear" w:color="auto" w:fill="FFFFFF"/>
          <w:lang w:val="en-US" w:eastAsia="zh-CN"/>
          <w14:textFill>
            <w14:solidFill>
              <w14:schemeClr w14:val="tx1"/>
            </w14:solidFill>
          </w14:textFill>
        </w:rPr>
        <w:t>运用“当代国际社会”的知识，分析中欧携手推进“一带一路”建设的政治生活依据。（12分）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28.(6分)阅读材料，完成下列要求。</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创建的关键在人。市民的文明素质，体现着整个区域的精神风貌和文明程度。</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    “微笑，是美好一天的开始。弯腰，捡起了烟头，也捡起了文明。排队，让生活因有序而美丽。”2018年10月10日，乐山市召开创建国家卫生城市、全国文明城市工作专题会议。此次创建是对乐山的综合检阅，做好创建工作将有力助推世界重要旅游目的地建设，为此我市要进一步加大创建工作力度，高质量对标补短，提升城市品位和群众对城市的满意度。</w:t>
      </w:r>
    </w:p>
    <w:p>
      <w:pPr>
        <w:keepNext w:val="0"/>
        <w:keepLines w:val="0"/>
        <w:widowControl/>
        <w:suppressLineNumbers w:val="0"/>
        <w:shd w:val="clear" w:color="auto" w:fill="FFFFFF"/>
        <w:wordWrap w:val="0"/>
        <w:spacing w:before="0" w:beforeAutospacing="0" w:after="0" w:afterAutospacing="0" w:line="240" w:lineRule="auto"/>
        <w:ind w:left="0" w:right="0" w:firstLine="602"/>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i w:val="0"/>
          <w:caps w:val="0"/>
          <w:color w:val="000000" w:themeColor="text1"/>
          <w:spacing w:val="0"/>
          <w:kern w:val="0"/>
          <w:sz w:val="24"/>
          <w:szCs w:val="24"/>
          <w:shd w:val="clear" w:color="auto" w:fill="FFFFFF"/>
          <w:lang w:val="en-US" w:eastAsia="zh-CN"/>
          <w14:textFill>
            <w14:solidFill>
              <w14:schemeClr w14:val="tx1"/>
            </w14:solidFill>
          </w14:textFill>
        </w:rPr>
        <w:t>请运用《政治生活》的相关知识，就把我市创建成一座充满温度和温情的繁荣宜居智慧新城提两条建议并说明理论依据。（6分）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 </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参考答案及评分标准：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一、选择题（48分）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1～5 BADAA   6～10 CBDAC     11～15 CCCAB   16～20 DBABD    21～24 BDCD</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二、非选择题（52分）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25.(22分)(1)(12分)①政府要切实履行好组织社会主义文化建设职能。（1分）通过加强乡村精神文明建设和法治宣传教育，提高人民的思想道德素质和法治观念，为增强乡村治理能力提供精神动力和思想保证。（2分）②政府必须在党的领导下，在法治轨道上履行职能。（1分）通过建立健全党组织领导的、法治的领导体制和工作机制，发挥党的领导核心和法治的作用。（2分）③政府要加快转变职能。（1分）通过开展乡村治理体系建设试点和乡村治理示范村镇创建，探索和创新乡村治理新方法新模式，不断提高乡村治理能力。④政府履行职能时必须坚持对人民负责的基本原则。坚持从群众中来到群众中去的工作方法，（1分）依托村委会等各种群众组织广泛收集群众的意见和建议，充分发挥发挥人民群众参与乡村治理的主体作用。（2分）</w:t>
      </w:r>
    </w:p>
    <w:p>
      <w:pPr>
        <w:keepNext w:val="0"/>
        <w:keepLines w:val="0"/>
        <w:widowControl/>
        <w:suppressLineNumbers w:val="0"/>
        <w:shd w:val="clear" w:color="auto" w:fill="FFFFFF"/>
        <w:wordWrap w:val="0"/>
        <w:spacing w:before="0" w:beforeAutospacing="0" w:after="0" w:afterAutospacing="0" w:line="240" w:lineRule="auto"/>
        <w:ind w:left="0" w:right="0" w:firstLine="48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如果答“政府履行基本职能，并不意味着政府包办一切。政府应尊重农村自治组织的权力，做好引导和督促工作，发挥村委会等各种村级组织的在乡村治理中自我管理、自我教育、自我服务作用，不能越位。”也可给3分） 注意：考生作答须正确使用专业术语，与答案意思相同，但表述不同，可酌情给分。如果只是单照搬材料，不给分。</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(2)（10分）</w:t>
      </w:r>
      <w:bookmarkStart w:id="2" w:name="_Hlk8803928"/>
      <w:bookmarkEnd w:id="2"/>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①落实党对乡村振兴的全面领导，发挥农村党组织的领导核心和引领作用，凝聚起乡村振兴的强大力量。（3分）②加强农村的基层党组织建设，充分发挥农村党支部的战斗堡垒作用，激活乡村振兴的内生动力，形成乡村振兴发展的合力。（2分）③发挥农村党员的先锋模范作用，通过党员的传帮带，带领农民增加收入，脱贫致富。（2分）④坚持人民主体地位（或答民主执政），把党的群众路线贯彻落实到乡村振兴中，联系、服务、团结群众，自觉接受群众监督。（3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26.（12分）①中国共产党是最高政治领导力量，是领导中国人民前进，不断夺取新胜利的核心力量，党的领导是“民生实事项目人大代表票决制”（以下简称“票决制”）的根本保证。(3分)②人民代表大会制度是坚持党的领导、人民当家作主、依法治国有机统一的根本制度安排（或中国发展进步的根本制度保障，），是充分发挥“票决制”对国家治理作用的根本制度保障之一。(3分)③人大作为国家权力机关，对民生项目的形成和实施依法实行使决定权和使监督权，人大代表作为人大的组成人员能够密切联系群众，更好发挥“票决制”在国家治理中的桥梁作用。(3分)④政府是国家权力机关的执行机关，贯彻落实党和人大民生项目决定，认真履行职能（做到对人民负责），自觉接受群众监督，不断提升国家（政府）治理的水平和效率。(3分)⑤人民民主专政的国体决定人民能够充分发挥主人翁作用，可以通过社情民意反映制度参与民主决策、民主评议政府参与民主监督，就民生项目提出自己的建议和意见，从而推动国家治理的进步。(3分)（以上内容答出4点即可，每点3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27.（12分）①国家利益是国际关系的决定性因素，国家间的共同利益是国家合作的基础。双方共同建设“一带一路”，符合我国和沿线国家、地区的共同利益。（3分）②和平与发展是当今时代的主题，经济全球化深入发展。双方共同建设“一带一路”，顺应了当今时代主题和全球化发展趋势，有利于促进双方相互尊重、相互理解和政治互信，构建全球治理体系和人类命运共同体。（3分）③我国坚持独立自主的和平外交政策，坚持维护世界和平、促进共同发展。中方愿同阿方携手推进“一带一路”建设，符合我国外交政策的宗旨和基本目标。（3分）④当代国际竞争的实质是以经济和科技为基础的综合国力的较量。双方携手共同建设“一带一路”，有利于促进沿线地区的经济联系，增强各国综合国力，在多极化格局中占据有利地位。（3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28.（6分）公民：参与社区志愿者活动（1分）</w:t>
      </w:r>
    </w:p>
    <w:p>
      <w:pPr>
        <w:keepNext w:val="0"/>
        <w:keepLines w:val="0"/>
        <w:widowControl/>
        <w:suppressLineNumbers w:val="0"/>
        <w:shd w:val="clear" w:color="auto" w:fill="FFFFFF"/>
        <w:wordWrap w:val="0"/>
        <w:spacing w:before="0" w:beforeAutospacing="0" w:after="0" w:afterAutospacing="0" w:line="240" w:lineRule="auto"/>
        <w:ind w:left="0" w:right="0" w:firstLine="60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理论依据：权利义务相统一或个人国家利益结合，有序参与政治生活。（2分）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      政府：加强宣传，提高公民素养。（1分）</w:t>
      </w:r>
    </w:p>
    <w:p>
      <w:pPr>
        <w:keepNext w:val="0"/>
        <w:keepLines w:val="0"/>
        <w:widowControl/>
        <w:suppressLineNumbers w:val="0"/>
        <w:shd w:val="clear" w:color="auto" w:fill="FFFFFF"/>
        <w:wordWrap w:val="0"/>
        <w:spacing w:before="0" w:beforeAutospacing="0" w:after="0" w:afterAutospacing="0" w:line="240" w:lineRule="auto"/>
        <w:ind w:left="0" w:right="0" w:firstLine="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理论依据履行文化职能。（2分）</w:t>
      </w:r>
    </w:p>
    <w:p>
      <w:pPr>
        <w:keepNext w:val="0"/>
        <w:keepLines w:val="0"/>
        <w:widowControl/>
        <w:suppressLineNumbers w:val="0"/>
        <w:shd w:val="clear" w:color="auto" w:fill="FFFFFF"/>
        <w:wordWrap w:val="0"/>
        <w:spacing w:before="0" w:beforeAutospacing="0" w:after="0" w:afterAutospacing="0" w:line="240" w:lineRule="auto"/>
        <w:ind w:left="0" w:right="0" w:firstLine="360"/>
        <w:jc w:val="left"/>
        <w:rPr>
          <w:rFonts w:hint="default" w:ascii="����" w:hAnsi="����" w:eastAsia="����" w:cs="����"/>
          <w:b w:val="0"/>
          <w:i w:val="0"/>
          <w:caps w:val="0"/>
          <w:color w:val="000000" w:themeColor="text1"/>
          <w:spacing w:val="0"/>
          <w:sz w:val="18"/>
          <w:szCs w:val="18"/>
          <w14:textFill>
            <w14:solidFill>
              <w14:schemeClr w14:val="tx1"/>
            </w14:solidFill>
          </w14:textFill>
        </w:rPr>
      </w:pPr>
      <w:r>
        <w:rPr>
          <w:rFonts w:hint="eastAsia" w:ascii="新宋体" w:hAnsi="新宋体" w:eastAsia="新宋体" w:cs="新宋体"/>
          <w:b w:val="0"/>
          <w:i w:val="0"/>
          <w:caps w:val="0"/>
          <w:color w:val="000000" w:themeColor="text1"/>
          <w:spacing w:val="0"/>
          <w:kern w:val="0"/>
          <w:sz w:val="24"/>
          <w:szCs w:val="24"/>
          <w:shd w:val="clear" w:color="auto" w:fill="FFFFFF"/>
          <w:lang w:val="en-US" w:eastAsia="zh-CN"/>
          <w14:textFill>
            <w14:solidFill>
              <w14:schemeClr w14:val="tx1"/>
            </w14:solidFill>
          </w14:textFill>
        </w:rPr>
        <w:t>（开放性试题，言之有理即可，但建议与理论依据应对应，且理论依据应来源教材观点）</w:t>
      </w:r>
    </w:p>
    <w:p>
      <w:pPr>
        <w:spacing w:line="240" w:lineRule="auto"/>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auto"/>
    <w:pitch w:val="default"/>
    <w:sig w:usb0="00000003" w:usb1="288F0000" w:usb2="00000006" w:usb3="00000000" w:csb0="00040001" w:csb1="00000000"/>
  </w:font>
  <w:font w:name="����">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75D0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2019-08-27T13:52:04Z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