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300" w:firstLineChars="83"/>
        <w:jc w:val="center"/>
        <w:rPr>
          <w:b/>
          <w:bCs/>
          <w:sz w:val="36"/>
          <w:szCs w:val="36"/>
        </w:rPr>
      </w:pPr>
      <w:r>
        <w:rPr>
          <w:rFonts w:hint="eastAsia"/>
          <w:b/>
          <w:bCs/>
          <w:sz w:val="36"/>
          <w:szCs w:val="36"/>
        </w:rPr>
        <w:pict>
          <v:shape id="_x0000_s1025" o:spid="_x0000_s1025" o:spt="75" type="#_x0000_t75" style="position:absolute;left:0pt;margin-left:865pt;margin-top:829pt;height:22pt;width:26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hint="eastAsia"/>
          <w:b/>
          <w:bCs/>
          <w:sz w:val="36"/>
          <w:szCs w:val="36"/>
        </w:rPr>
        <w:t>三原南郊中学2019届第一次月考</w:t>
      </w:r>
    </w:p>
    <w:p>
      <w:pPr>
        <w:spacing w:line="240" w:lineRule="auto"/>
        <w:ind w:firstLine="300" w:firstLineChars="83"/>
        <w:jc w:val="center"/>
        <w:rPr>
          <w:rFonts w:ascii="楷体" w:hAnsi="楷体" w:eastAsia="楷体"/>
          <w:b/>
          <w:bCs/>
          <w:sz w:val="36"/>
          <w:szCs w:val="36"/>
        </w:rPr>
      </w:pPr>
      <w:r>
        <w:rPr>
          <w:rFonts w:hint="eastAsia" w:ascii="楷体" w:hAnsi="楷体" w:eastAsia="楷体"/>
          <w:b/>
          <w:bCs/>
          <w:sz w:val="36"/>
          <w:szCs w:val="36"/>
        </w:rPr>
        <w:t>政治试题</w:t>
      </w:r>
    </w:p>
    <w:p>
      <w:pPr>
        <w:spacing w:line="240" w:lineRule="auto"/>
        <w:ind w:firstLine="4935" w:firstLineChars="2350"/>
        <w:rPr>
          <w:szCs w:val="21"/>
        </w:rPr>
      </w:pPr>
      <w:r>
        <w:rPr>
          <w:rFonts w:hint="eastAsia"/>
          <w:szCs w:val="21"/>
        </w:rPr>
        <w:t>命题人：    审题人：</w:t>
      </w:r>
    </w:p>
    <w:p>
      <w:pPr>
        <w:spacing w:line="240" w:lineRule="auto"/>
        <w:ind w:firstLine="0" w:firstLineChars="0"/>
        <w:rPr>
          <w:rFonts w:ascii="宋体" w:hAnsi="宋体" w:cs="宋体"/>
          <w:b/>
          <w:bCs/>
          <w:szCs w:val="21"/>
        </w:rPr>
      </w:pPr>
      <w:r>
        <w:rPr>
          <w:rFonts w:hint="eastAsia" w:ascii="宋体" w:hAnsi="宋体" w:cs="宋体"/>
          <w:b/>
          <w:bCs/>
          <w:szCs w:val="21"/>
        </w:rPr>
        <w:t>一、选择题（</w:t>
      </w:r>
      <w:r>
        <w:rPr>
          <w:rFonts w:hint="eastAsia" w:ascii="宋体" w:hAnsi="宋体" w:cs="宋体"/>
          <w:b/>
          <w:bCs/>
        </w:rPr>
        <w:t>本题共25小题，每小题2分，共50分。在每小题给出的四个选项中，只有一项是符合题目要求的</w:t>
      </w:r>
      <w:r>
        <w:rPr>
          <w:rFonts w:hint="eastAsia" w:ascii="宋体" w:hAnsi="宋体" w:cs="宋体"/>
          <w:b/>
          <w:bCs/>
          <w:szCs w:val="21"/>
        </w:rPr>
        <w:t>）</w:t>
      </w:r>
    </w:p>
    <w:p>
      <w:pPr>
        <w:spacing w:line="240" w:lineRule="auto"/>
        <w:ind w:firstLine="0" w:firstLineChars="0"/>
      </w:pPr>
      <w:r>
        <w:t>1</w:t>
      </w:r>
      <w:r>
        <w:rPr>
          <w:rFonts w:hint="eastAsia"/>
        </w:rPr>
        <w:t>．</w:t>
      </w:r>
      <w:r>
        <w:t>李燕的爸妈领取了8000元工资后，在商店里购买了一件商品，原标价为人民币399元，实际支付299元。在这里，8000元、399元、299元分别执行的职能是（   ）</w:t>
      </w:r>
    </w:p>
    <w:p>
      <w:pPr>
        <w:spacing w:line="240" w:lineRule="auto"/>
        <w:ind w:firstLine="630"/>
      </w:pPr>
      <w:r>
        <w:t>A. 流通手段  价值尺度  支付手段    B. 支付手段  价值尺度  流通手段</w:t>
      </w:r>
    </w:p>
    <w:p>
      <w:pPr>
        <w:spacing w:line="240" w:lineRule="auto"/>
        <w:ind w:firstLine="630"/>
      </w:pPr>
      <w:r>
        <w:t>C. 价值尺度  支付手段  流通手段    D. 支付手段  流通手段  价值尺度</w:t>
      </w:r>
    </w:p>
    <w:p>
      <w:pPr>
        <w:spacing w:line="240" w:lineRule="auto"/>
        <w:ind w:firstLine="0" w:firstLineChars="0"/>
      </w:pPr>
      <w:r>
        <w:rPr>
          <w:rFonts w:hint="eastAsia"/>
        </w:rPr>
        <w:t>2．</w:t>
      </w:r>
      <w:r>
        <w:t>未来经济领域最大的发展趋势之一就是货币变革，数字货币的发行和流通是一种必然的趋势。数字货币是价值的一种数据表现形式，通过数据进行交易并发挥交易媒介、记账单位及价值存储等功能。假如中国人民银行推出法定数字货币将会（   ）</w:t>
      </w:r>
    </w:p>
    <w:p>
      <w:pPr>
        <w:spacing w:line="240" w:lineRule="auto"/>
        <w:ind w:firstLine="0" w:firstLineChars="0"/>
      </w:pPr>
      <w:r>
        <w:t>①效降低传统纸币发行、流通的成本</w:t>
      </w:r>
      <w:r>
        <w:rPr>
          <w:rFonts w:hint="eastAsia"/>
        </w:rPr>
        <w:t xml:space="preserve">   </w:t>
      </w:r>
      <w:r>
        <w:t>②降低商业银行对货币供给和货币流通的控制力</w:t>
      </w:r>
    </w:p>
    <w:p>
      <w:pPr>
        <w:spacing w:line="240" w:lineRule="auto"/>
        <w:ind w:firstLine="0" w:firstLineChars="0"/>
      </w:pPr>
      <w:r>
        <w:t>③提升经济交易活动的便利性和透明度</w:t>
      </w:r>
      <w:r>
        <w:rPr>
          <w:rFonts w:hint="eastAsia"/>
        </w:rPr>
        <w:t xml:space="preserve"> </w:t>
      </w:r>
      <w:r>
        <w:t>④加快货币的流通速度，改变货币购买力</w:t>
      </w:r>
    </w:p>
    <w:p>
      <w:pPr>
        <w:spacing w:line="240" w:lineRule="auto"/>
        <w:ind w:firstLine="630"/>
      </w:pPr>
      <w:r>
        <w:t>A. ①②    B. ③④    c．②④    D．①③</w:t>
      </w:r>
    </w:p>
    <w:p>
      <w:pPr>
        <w:spacing w:line="240" w:lineRule="auto"/>
        <w:ind w:firstLine="0" w:firstLineChars="0"/>
      </w:pPr>
      <w:r>
        <w:rPr>
          <w:rFonts w:hint="eastAsia"/>
        </w:rPr>
        <w:t>3．2017年9月29日，中国人民银行发行中国戏曲艺术(黄梅戏)金银纪念币一套。该套纪念币共4枚，其中金质纪念币1枚，银质纪念币3枚，均为中华人民共和国法定货币。该套金银纪念币正面图案均为中华人民共和国国徽，并刊国名、年号。对该套纪念币认识正确的是(　　)</w:t>
      </w:r>
      <w:r>
        <w:rPr>
          <w:rFonts w:hint="eastAsia"/>
        </w:rPr>
        <w:br w:type="textWrapping"/>
      </w:r>
      <w:r>
        <w:rPr>
          <w:rFonts w:hint="eastAsia"/>
        </w:rPr>
        <w:t>①从本质上说，与一般商品无异　  ②该纪念币是国家法定货币，具有流通手段职能　</w:t>
      </w:r>
      <w:r>
        <w:rPr>
          <w:rFonts w:hint="eastAsia"/>
        </w:rPr>
        <w:br w:type="textWrapping"/>
      </w:r>
      <w:r>
        <w:rPr>
          <w:rFonts w:hint="eastAsia"/>
        </w:rPr>
        <w:t>③该纪念币的本质是一般等价物　  ④该纪念</w:t>
      </w:r>
      <w:r>
        <w:rPr>
          <w:rFonts w:hint="eastAsia"/>
        </w:rPr>
        <w:drawing>
          <wp:inline distT="0" distB="0" distL="114300" distR="114300">
            <wp:extent cx="17780" cy="16510"/>
            <wp:effectExtent l="0" t="0" r="0" b="0"/>
            <wp:docPr id="30"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4"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17780" cy="16510"/>
                    </a:xfrm>
                    <a:prstGeom prst="rect">
                      <a:avLst/>
                    </a:prstGeom>
                    <a:noFill/>
                    <a:ln w="9525">
                      <a:noFill/>
                    </a:ln>
                  </pic:spPr>
                </pic:pic>
              </a:graphicData>
            </a:graphic>
          </wp:inline>
        </w:drawing>
      </w:r>
      <w:r>
        <w:rPr>
          <w:rFonts w:hint="eastAsia"/>
        </w:rPr>
        <w:t>币是收藏品，可以不断地升值</w:t>
      </w:r>
      <w:r>
        <w:rPr>
          <w:rFonts w:hint="eastAsia"/>
        </w:rPr>
        <w:br w:type="textWrapping"/>
      </w:r>
      <w:r>
        <w:rPr>
          <w:rFonts w:hint="eastAsia"/>
        </w:rPr>
        <w:t>A．①② 　　B．②③　　  C．③④  　　D．①④</w:t>
      </w:r>
    </w:p>
    <w:p>
      <w:pPr>
        <w:spacing w:line="240" w:lineRule="auto"/>
        <w:ind w:firstLine="0" w:firstLineChars="0"/>
      </w:pPr>
      <w:r>
        <w:rPr>
          <w:rFonts w:hint="eastAsia"/>
        </w:rPr>
        <w:t>4．来自中国外汇交易中心的数据显示，2017年1月1日，1美元对人民币中间价为6．493 6元，2017年12月5日，1美元对人民币中间价为6．653 0元。根据上述变化，你认为可能带来的经济影响有(　　)</w:t>
      </w:r>
      <w:r>
        <w:rPr>
          <w:rFonts w:hint="eastAsia"/>
        </w:rPr>
        <w:br w:type="textWrapping"/>
      </w:r>
      <w:r>
        <w:rPr>
          <w:rFonts w:hint="eastAsia"/>
        </w:rPr>
        <w:t>①我国公民出国留学美国的成本提高　  ②单位人民币的购买力下降　</w:t>
      </w:r>
      <w:r>
        <w:rPr>
          <w:rFonts w:hint="eastAsia"/>
        </w:rPr>
        <w:br w:type="textWrapping"/>
      </w:r>
      <w:r>
        <w:rPr>
          <w:rFonts w:hint="eastAsia"/>
        </w:rPr>
        <w:t>③削弱我国出口美国商品的竞争力　    ④海外对华投资减少</w:t>
      </w:r>
      <w:r>
        <w:rPr>
          <w:rFonts w:hint="eastAsia"/>
        </w:rPr>
        <w:br w:type="textWrapping"/>
      </w:r>
      <w:r>
        <w:rPr>
          <w:rFonts w:hint="eastAsia"/>
        </w:rPr>
        <w:t xml:space="preserve">A．①③     B．③④      C．②④ </w:t>
      </w:r>
      <w:r>
        <w:rPr>
          <w:rFonts w:hint="eastAsia"/>
        </w:rPr>
        <w:tab/>
      </w:r>
      <w:r>
        <w:rPr>
          <w:rFonts w:hint="eastAsia"/>
        </w:rPr>
        <w:tab/>
      </w:r>
      <w:r>
        <w:rPr>
          <w:rFonts w:hint="eastAsia"/>
        </w:rPr>
        <w:t>D．①②</w:t>
      </w:r>
      <w:r>
        <w:rPr>
          <w:rFonts w:hint="eastAsia"/>
        </w:rPr>
        <w:br w:type="textWrapping"/>
      </w:r>
      <w:r>
        <w:rPr>
          <w:rFonts w:hint="eastAsia"/>
        </w:rPr>
        <w:t>5</w:t>
      </w:r>
      <w:r>
        <w:t>．社会总供给是指一个国家或地区在一定时期内（通常为1年）由社会生产活动实际可以提供给市场的可供最终使用的产品和劳务总量。下列能计入我国社会总供给的是</w:t>
      </w:r>
      <w:r>
        <w:rPr>
          <w:rFonts w:hint="eastAsia"/>
        </w:rPr>
        <w:t>(　　)</w:t>
      </w:r>
    </w:p>
    <w:p>
      <w:pPr>
        <w:spacing w:line="240" w:lineRule="auto"/>
        <w:ind w:firstLine="630"/>
      </w:pPr>
      <w:r>
        <w:t xml:space="preserve">①全球汉语教师缺口量达到500万人以上    </w:t>
      </w:r>
      <w:r>
        <w:rPr>
          <w:rFonts w:hint="eastAsia"/>
        </w:rPr>
        <w:t xml:space="preserve"> </w:t>
      </w:r>
    </w:p>
    <w:p>
      <w:pPr>
        <w:spacing w:line="240" w:lineRule="auto"/>
        <w:ind w:firstLine="630"/>
      </w:pPr>
      <w:r>
        <w:t>②我国某市引进海外高层次人才100名左右</w:t>
      </w:r>
    </w:p>
    <w:p>
      <w:pPr>
        <w:spacing w:line="240" w:lineRule="auto"/>
        <w:ind w:firstLine="630"/>
      </w:pPr>
      <w:r>
        <w:t xml:space="preserve">③我国某玻璃企业美国生产线年产26万吨    </w:t>
      </w:r>
    </w:p>
    <w:p>
      <w:pPr>
        <w:spacing w:line="240" w:lineRule="auto"/>
        <w:ind w:firstLine="630"/>
      </w:pPr>
      <w:r>
        <w:t>④我国某品牌新能源汽车2月产量12 765辆</w:t>
      </w:r>
    </w:p>
    <w:p>
      <w:pPr>
        <w:spacing w:line="240" w:lineRule="auto"/>
        <w:ind w:firstLine="630"/>
      </w:pPr>
      <w:r>
        <w:t>A．①③    B．②③    C．①④    D．②④</w:t>
      </w:r>
    </w:p>
    <w:p>
      <w:pPr>
        <w:spacing w:line="240" w:lineRule="auto"/>
        <w:ind w:firstLine="0" w:firstLineChars="0"/>
      </w:pPr>
      <w:r>
        <w:rPr>
          <w:rFonts w:hint="eastAsia"/>
        </w:rPr>
        <w:t>6．</w:t>
      </w:r>
      <w:r>
        <w:t>在山东济南的唐王镇，要想吃到当地人饲养的七彩山鸡蛋要先预订的。这种蛋的重盘虽然只有20—30克（鸽子蛋大小），最高却卖到1.5元一只。由于山鸡蛋的口感和营养都胜过普通鸡蛋，山鸡蛋成为饭店的抢手货。这表明（    ）</w:t>
      </w:r>
      <w:r>
        <w:br w:type="textWrapping"/>
      </w:r>
      <w:r>
        <w:t>①使用价值越大价格越高   </w:t>
      </w:r>
      <w:r>
        <w:rPr>
          <w:rFonts w:hint="eastAsia"/>
        </w:rPr>
        <w:t xml:space="preserve">                </w:t>
      </w:r>
      <w:r>
        <w:t>②物以稀为贵</w:t>
      </w:r>
      <w:r>
        <w:br w:type="textWrapping"/>
      </w:r>
      <w:r>
        <w:t>③使用价值是价值的物质承担者   </w:t>
      </w:r>
      <w:r>
        <w:rPr>
          <w:rFonts w:hint="eastAsia"/>
        </w:rPr>
        <w:t xml:space="preserve">          </w:t>
      </w:r>
      <w:r>
        <w:t xml:space="preserve">④价值越大价格越高            </w:t>
      </w:r>
    </w:p>
    <w:p>
      <w:pPr>
        <w:spacing w:line="240" w:lineRule="auto"/>
        <w:ind w:firstLine="0" w:firstLineChars="0"/>
      </w:pPr>
      <w:r>
        <w:t>A. ①②                           B. ②③                      C. ③④                     D. ②④</w:t>
      </w:r>
    </w:p>
    <w:p>
      <w:pPr>
        <w:spacing w:line="240" w:lineRule="auto"/>
        <w:ind w:firstLine="0" w:firstLineChars="0"/>
      </w:pPr>
      <w:r>
        <w:drawing>
          <wp:anchor distT="0" distB="0" distL="114300" distR="114300" simplePos="0" relativeHeight="251659264" behindDoc="1" locked="0" layoutInCell="1" allowOverlap="1">
            <wp:simplePos x="0" y="0"/>
            <wp:positionH relativeFrom="column">
              <wp:posOffset>3735070</wp:posOffset>
            </wp:positionH>
            <wp:positionV relativeFrom="paragraph">
              <wp:posOffset>88900</wp:posOffset>
            </wp:positionV>
            <wp:extent cx="1872615" cy="1841500"/>
            <wp:effectExtent l="0" t="0" r="13335" b="6350"/>
            <wp:wrapTight wrapText="bothSides">
              <wp:wrapPolygon>
                <wp:start x="0" y="0"/>
                <wp:lineTo x="0" y="21451"/>
                <wp:lineTo x="21314" y="21451"/>
                <wp:lineTo x="21314" y="0"/>
                <wp:lineTo x="0" y="0"/>
              </wp:wrapPolygon>
            </wp:wrapTight>
            <wp:docPr id="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
                    <pic:cNvPicPr>
                      <a:picLocks noChangeAspect="1"/>
                    </pic:cNvPicPr>
                  </pic:nvPicPr>
                  <pic:blipFill>
                    <a:blip r:embed="rId12" cstate="print"/>
                    <a:stretch>
                      <a:fillRect/>
                    </a:stretch>
                  </pic:blipFill>
                  <pic:spPr>
                    <a:xfrm>
                      <a:off x="0" y="0"/>
                      <a:ext cx="1872615" cy="1841500"/>
                    </a:xfrm>
                    <a:prstGeom prst="rect">
                      <a:avLst/>
                    </a:prstGeom>
                    <a:noFill/>
                    <a:ln w="9525">
                      <a:noFill/>
                    </a:ln>
                  </pic:spPr>
                </pic:pic>
              </a:graphicData>
            </a:graphic>
          </wp:anchor>
        </w:drawing>
      </w:r>
      <w:r>
        <w:rPr>
          <w:rFonts w:hint="eastAsia"/>
        </w:rPr>
        <w:t>7．</w:t>
      </w:r>
      <w:r>
        <w:t>某商品的价格（P）与需求量（Q）存在如下图所示关系。在其他条件不变的情况下，下列判断正确的是（    ）</w:t>
      </w:r>
      <w:r>
        <w:br w:type="textWrapping"/>
      </w:r>
      <w:r>
        <w:t>①若该商品价格由PA向PB运动时，会导致其需求量增加</w:t>
      </w:r>
      <w:r>
        <w:br w:type="textWrapping"/>
      </w:r>
      <w:r>
        <w:t>②若该商品需求量由QB向QA运动时，会导致其价格上涨</w:t>
      </w:r>
      <w:r>
        <w:br w:type="textWrapping"/>
      </w:r>
      <w:r>
        <w:t>③若该商品的价格由PB向PA运动时，会导致其替代商品需求量增加</w:t>
      </w:r>
      <w:r>
        <w:br w:type="textWrapping"/>
      </w:r>
      <w:r>
        <w:t xml:space="preserve">④若该商品需求量由QA向QB运动时，会导致其互补商品需求量减少            </w:t>
      </w:r>
    </w:p>
    <w:p>
      <w:pPr>
        <w:spacing w:line="240" w:lineRule="auto"/>
        <w:ind w:firstLine="630"/>
      </w:pPr>
      <w:r>
        <w:t>A. ①②                   B. ②③                  C. ①③                     D. ②④</w:t>
      </w:r>
    </w:p>
    <w:p>
      <w:pPr>
        <w:spacing w:line="240" w:lineRule="auto"/>
        <w:ind w:firstLine="0" w:firstLineChars="0"/>
      </w:pPr>
      <w:r>
        <w:rPr>
          <w:rFonts w:hint="eastAsia"/>
        </w:rPr>
        <w:t>8．</w:t>
      </w:r>
      <w:r>
        <w:t>随着智能手机的功能越来越强大，MP3（音乐播放器）、电子词典、掌上游戏机等电子产品正慢慢淡出人们的视野。这说明（    ）</w:t>
      </w:r>
      <w:r>
        <w:br w:type="textWrapping"/>
      </w:r>
      <w:r>
        <w:t>①市场竞争导致商品优胜劣汰②商品使用价值会影响人的消费选择  </w:t>
      </w:r>
      <w:r>
        <w:br w:type="textWrapping"/>
      </w:r>
      <w:r>
        <w:t xml:space="preserve">③功能不同的商品会相互替代④商品使用价值因替代品出现而减小            </w:t>
      </w:r>
    </w:p>
    <w:p>
      <w:pPr>
        <w:spacing w:line="240" w:lineRule="auto"/>
        <w:ind w:firstLine="630"/>
      </w:pPr>
      <w:r>
        <w:t>A. ①②                                B. ①③                              C. ②④                             D. ③④</w:t>
      </w:r>
    </w:p>
    <w:p>
      <w:pPr>
        <w:spacing w:line="240" w:lineRule="auto"/>
        <w:ind w:firstLine="0" w:firstLineChars="0"/>
      </w:pPr>
      <w:r>
        <w:rPr>
          <w:rFonts w:hint="eastAsia"/>
        </w:rPr>
        <w:t>9．</w:t>
      </w:r>
      <w:r>
        <w:t>随着西成高铁的开通，汉中到西安由原来乘坐大巴车的4个小时左右缩短至大约1个半小时。下图中P为大巴车票价，Q为乘坐大巴车出行需求量，D为高铁开通前，D1为高铁开通后。如果不考虑其他因素，能准确反映西成高铁开通对汉中与西安两地乘坐大巴车出行需求的影响图示是（    ）</w:t>
      </w:r>
    </w:p>
    <w:p>
      <w:pPr>
        <w:spacing w:line="240" w:lineRule="auto"/>
        <w:ind w:firstLine="630"/>
      </w:pPr>
      <w:r>
        <w:drawing>
          <wp:inline distT="0" distB="0" distL="114300" distR="114300">
            <wp:extent cx="2346960" cy="1075055"/>
            <wp:effectExtent l="0" t="0" r="15240" b="10795"/>
            <wp:docPr id="23"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 descr="学科网(www.zxxk.com)--教育资源门户，提供试卷、教案、课件、论文、素材以及各类教学资源下载，还有大量而丰富的教学相关资讯！"/>
                    <pic:cNvPicPr>
                      <a:picLocks noChangeAspect="1"/>
                    </pic:cNvPicPr>
                  </pic:nvPicPr>
                  <pic:blipFill>
                    <a:blip r:embed="rId13" cstate="print"/>
                    <a:srcRect t="994" r="52712"/>
                    <a:stretch>
                      <a:fillRect/>
                    </a:stretch>
                  </pic:blipFill>
                  <pic:spPr>
                    <a:xfrm>
                      <a:off x="0" y="0"/>
                      <a:ext cx="2346960" cy="1075055"/>
                    </a:xfrm>
                    <a:prstGeom prst="rect">
                      <a:avLst/>
                    </a:prstGeom>
                    <a:noFill/>
                    <a:ln w="9525">
                      <a:noFill/>
                    </a:ln>
                  </pic:spPr>
                </pic:pic>
              </a:graphicData>
            </a:graphic>
          </wp:inline>
        </w:drawing>
      </w:r>
      <w:r>
        <w:rPr>
          <w:rFonts w:hint="eastAsia"/>
        </w:rPr>
        <w:t xml:space="preserve">  </w:t>
      </w:r>
      <w:r>
        <w:drawing>
          <wp:inline distT="0" distB="0" distL="114300" distR="114300">
            <wp:extent cx="2282825" cy="1082675"/>
            <wp:effectExtent l="0" t="0" r="3175" b="3175"/>
            <wp:docPr id="2"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学科网(www.zxxk.com)--教育资源门户，提供试卷、教案、课件、论文、素材以及各类教学资源下载，还有大量而丰富的教学相关资讯！"/>
                    <pic:cNvPicPr>
                      <a:picLocks noChangeAspect="1"/>
                    </pic:cNvPicPr>
                  </pic:nvPicPr>
                  <pic:blipFill>
                    <a:blip r:embed="rId13" cstate="print"/>
                    <a:srcRect l="54005" t="292"/>
                    <a:stretch>
                      <a:fillRect/>
                    </a:stretch>
                  </pic:blipFill>
                  <pic:spPr>
                    <a:xfrm>
                      <a:off x="0" y="0"/>
                      <a:ext cx="2282825" cy="1082675"/>
                    </a:xfrm>
                    <a:prstGeom prst="rect">
                      <a:avLst/>
                    </a:prstGeom>
                    <a:noFill/>
                    <a:ln w="9525">
                      <a:noFill/>
                    </a:ln>
                  </pic:spPr>
                </pic:pic>
              </a:graphicData>
            </a:graphic>
          </wp:inline>
        </w:drawing>
      </w:r>
    </w:p>
    <w:p>
      <w:pPr>
        <w:spacing w:line="240" w:lineRule="auto"/>
        <w:ind w:firstLine="630"/>
      </w:pPr>
      <w:r>
        <w:t>A. A    B. B    C. C    D. D</w:t>
      </w:r>
    </w:p>
    <w:p>
      <w:pPr>
        <w:spacing w:line="240" w:lineRule="auto"/>
        <w:ind w:firstLine="0" w:firstLineChars="0"/>
      </w:pPr>
      <w:r>
        <w:rPr>
          <w:rFonts w:hint="eastAsia"/>
        </w:rPr>
        <w:t>10．截至2017年10月6日，国内玉米均价为1 468元/吨，与2016年同期2 210元/吨相比，同比下跌33．57%。下列对玉米价格变化原因的</w:t>
      </w:r>
      <w:r>
        <w:rPr>
          <w:rFonts w:hint="eastAsia"/>
        </w:rPr>
        <w:drawing>
          <wp:inline distT="0" distB="0" distL="114300" distR="114300">
            <wp:extent cx="17780" cy="16510"/>
            <wp:effectExtent l="0" t="0" r="0" b="0"/>
            <wp:docPr id="31"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5"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17780" cy="16510"/>
                    </a:xfrm>
                    <a:prstGeom prst="rect">
                      <a:avLst/>
                    </a:prstGeom>
                    <a:noFill/>
                    <a:ln w="9525">
                      <a:noFill/>
                    </a:ln>
                  </pic:spPr>
                </pic:pic>
              </a:graphicData>
            </a:graphic>
          </wp:inline>
        </w:drawing>
      </w:r>
      <w:r>
        <w:rPr>
          <w:rFonts w:hint="eastAsia"/>
        </w:rPr>
        <w:t>推断合理的是(　　)</w:t>
      </w:r>
      <w:r>
        <w:rPr>
          <w:rFonts w:hint="eastAsia"/>
        </w:rPr>
        <w:br w:type="textWrapping"/>
      </w:r>
      <w:r>
        <w:rPr>
          <w:rFonts w:hint="eastAsia"/>
        </w:rPr>
        <w:t>①化肥等农资价格上涨→农民种植玉米的积极性下降</w:t>
      </w:r>
      <w:r>
        <w:rPr>
          <w:rFonts w:hint="eastAsia"/>
        </w:rPr>
        <w:br w:type="textWrapping"/>
      </w:r>
      <w:r>
        <w:rPr>
          <w:rFonts w:hint="eastAsia"/>
        </w:rPr>
        <w:t>②养殖企业缩小规模→作为饲料的玉米的需求量减少</w:t>
      </w:r>
      <w:r>
        <w:rPr>
          <w:rFonts w:hint="eastAsia"/>
        </w:rPr>
        <w:br w:type="textWrapping"/>
      </w:r>
      <w:r>
        <w:rPr>
          <w:rFonts w:hint="eastAsia"/>
        </w:rPr>
        <w:t>③玉米种植面积扩大→国家实施玉米临时收储政策</w:t>
      </w:r>
      <w:r>
        <w:rPr>
          <w:rFonts w:hint="eastAsia"/>
        </w:rPr>
        <w:br w:type="textWrapping"/>
      </w:r>
      <w:r>
        <w:rPr>
          <w:rFonts w:hint="eastAsia"/>
        </w:rPr>
        <w:t>④国际市场玉米价格下降→我国玉米进口数量增多</w:t>
      </w:r>
      <w:r>
        <w:rPr>
          <w:rFonts w:hint="eastAsia"/>
        </w:rPr>
        <w:br w:type="textWrapping"/>
      </w:r>
      <w:r>
        <w:rPr>
          <w:rFonts w:hint="eastAsia"/>
        </w:rPr>
        <w:t>A．①②       B．①③     C．②④</w:t>
      </w:r>
      <w:r>
        <w:rPr>
          <w:rFonts w:hint="eastAsia"/>
        </w:rPr>
        <w:tab/>
      </w:r>
      <w:r>
        <w:rPr>
          <w:rFonts w:hint="eastAsia"/>
        </w:rPr>
        <w:tab/>
      </w:r>
      <w:r>
        <w:rPr>
          <w:rFonts w:hint="eastAsia"/>
        </w:rPr>
        <w:t>D．③④</w:t>
      </w:r>
      <w:r>
        <w:rPr>
          <w:rFonts w:hint="eastAsia"/>
        </w:rPr>
        <w:br w:type="textWrapping"/>
      </w:r>
      <w:r>
        <w:rPr>
          <w:rFonts w:hint="eastAsia"/>
        </w:rPr>
        <w:t>11．价格变化会引起需求量的变动，但不同商品的需求量对价格变动的反应程度是不同的。根据这一经济原理，下列说法正确的是(　　)</w:t>
      </w:r>
      <w:r>
        <w:rPr>
          <w:rFonts w:hint="eastAsia"/>
        </w:rPr>
        <w:br w:type="textWrapping"/>
      </w:r>
      <w:r>
        <w:rPr>
          <w:rFonts w:hint="eastAsia"/>
        </w:rPr>
        <w:t>A．中高档轿车需求量对其价格变动的反应程度较小</w:t>
      </w:r>
      <w:r>
        <w:rPr>
          <w:rFonts w:hint="eastAsia"/>
        </w:rPr>
        <w:br w:type="textWrapping"/>
      </w:r>
      <w:r>
        <w:rPr>
          <w:rFonts w:hint="eastAsia"/>
        </w:rPr>
        <w:t>B．食盐需求量对其价格变动的反应程度较大</w:t>
      </w:r>
      <w:r>
        <w:rPr>
          <w:rFonts w:hint="eastAsia"/>
        </w:rPr>
        <w:br w:type="textWrapping"/>
      </w:r>
      <w:r>
        <w:rPr>
          <w:rFonts w:hint="eastAsia"/>
        </w:rPr>
        <w:t>C．家庭煤气价格上升会使煤气需求量大幅度减少</w:t>
      </w:r>
      <w:r>
        <w:rPr>
          <w:rFonts w:hint="eastAsia"/>
        </w:rPr>
        <w:br w:type="textWrapping"/>
      </w:r>
      <w:r>
        <w:rPr>
          <w:rFonts w:hint="eastAsia"/>
        </w:rPr>
        <w:t>D．品牌服饰价格大幅度下降会带来需求量迅速增加</w:t>
      </w:r>
    </w:p>
    <w:p>
      <w:pPr>
        <w:spacing w:line="240" w:lineRule="auto"/>
        <w:ind w:firstLine="0" w:firstLineChars="0"/>
      </w:pPr>
      <w:r>
        <w:t>1</w:t>
      </w:r>
      <w:r>
        <w:rPr>
          <w:rFonts w:hint="eastAsia"/>
        </w:rPr>
        <w:t>2</w:t>
      </w:r>
      <w:r>
        <w:t xml:space="preserve">．党中央和国务院发布的《关于推进价格机制改革的若干意见》提出:2018年我国竞争性领域和环节价格基本放开,继续执行并完善稻谷、小麦最低收购价、小麦最低收购政策,择机放开成品油价格,尽快全面理顺天然气价格,完善排污权交易价格体系,全面实行居民用水用电用气阶梯价格制度。右图中P为价格,Q为数量,D为需求曲线,S为供给曲线,E点为市场均衡点。下面关于价格改革的分析正确的是 (　　)   </w:t>
      </w:r>
    </w:p>
    <w:p>
      <w:pPr>
        <w:spacing w:line="240" w:lineRule="auto"/>
        <w:ind w:firstLine="630"/>
      </w:pPr>
      <w:r>
        <w:drawing>
          <wp:inline distT="0" distB="0" distL="0" distR="0">
            <wp:extent cx="1800225" cy="1095375"/>
            <wp:effectExtent l="0" t="0" r="9525" b="9525"/>
            <wp:docPr id="100001" name="图片 100001"/>
            <wp:cNvGraphicFramePr/>
            <a:graphic xmlns:a="http://schemas.openxmlformats.org/drawingml/2006/main">
              <a:graphicData uri="http://schemas.openxmlformats.org/drawingml/2006/picture">
                <pic:pic xmlns:pic="http://schemas.openxmlformats.org/drawingml/2006/picture">
                  <pic:nvPicPr>
                    <pic:cNvPr id="100001" name="图片 100001"/>
                    <pic:cNvPicPr/>
                  </pic:nvPicPr>
                  <pic:blipFill>
                    <a:blip r:embed="rId14" cstate="print"/>
                    <a:stretch>
                      <a:fillRect/>
                    </a:stretch>
                  </pic:blipFill>
                  <pic:spPr>
                    <a:xfrm>
                      <a:off x="0" y="0"/>
                      <a:ext cx="1800225" cy="1095375"/>
                    </a:xfrm>
                    <a:prstGeom prst="rect">
                      <a:avLst/>
                    </a:prstGeom>
                  </pic:spPr>
                </pic:pic>
              </a:graphicData>
            </a:graphic>
          </wp:inline>
        </w:drawing>
      </w:r>
    </w:p>
    <w:p>
      <w:pPr>
        <w:spacing w:line="240" w:lineRule="auto"/>
        <w:ind w:firstLine="630"/>
      </w:pPr>
      <w:r>
        <w:t>①稻谷、小麦最低收购价适宜在P2点,以保障粮食安全　</w:t>
      </w:r>
    </w:p>
    <w:p>
      <w:pPr>
        <w:spacing w:line="240" w:lineRule="auto"/>
        <w:ind w:firstLine="630"/>
      </w:pPr>
      <w:r>
        <w:t>②放开后的成品油价格适宜在P0点,以实现等价交换　</w:t>
      </w:r>
    </w:p>
    <w:p>
      <w:pPr>
        <w:spacing w:line="240" w:lineRule="auto"/>
        <w:ind w:firstLine="630"/>
      </w:pPr>
      <w:r>
        <w:t>③基数内居民用水用电价格适宜在P1点,以保障居民基本生活　</w:t>
      </w:r>
    </w:p>
    <w:p>
      <w:pPr>
        <w:spacing w:line="240" w:lineRule="auto"/>
        <w:ind w:firstLine="630"/>
      </w:pPr>
      <w:r>
        <w:t>④排污权交易价格适宜在P1点,以节约资源和保护环境</w:t>
      </w:r>
    </w:p>
    <w:p>
      <w:pPr>
        <w:spacing w:line="240" w:lineRule="auto"/>
        <w:ind w:firstLine="630"/>
      </w:pPr>
      <w:r>
        <w:t>A． ①③    B． ①④    C． ②③    D． ③④</w:t>
      </w:r>
    </w:p>
    <w:p>
      <w:pPr>
        <w:spacing w:line="240" w:lineRule="auto"/>
        <w:ind w:firstLine="0" w:firstLineChars="0"/>
      </w:pPr>
      <w:r>
        <w:rPr>
          <w:rFonts w:hint="eastAsia"/>
        </w:rPr>
        <w:t>13．为落实中国共产党第十九次全国代表大会精神，某市进一步提高大病医疗费用报销比例、养老金发放标准，完善了社会保障体系，让广大市民更放心去追求体验自己对美好生活的向往。下列举措传导路径符合题意的是：</w:t>
      </w:r>
      <w:r>
        <w:t>（    ）</w:t>
      </w:r>
    </w:p>
    <w:p>
      <w:pPr>
        <w:spacing w:line="240" w:lineRule="auto"/>
        <w:ind w:firstLine="630"/>
      </w:pPr>
      <w:r>
        <w:rPr>
          <w:rFonts w:hint="eastAsia"/>
        </w:rPr>
        <w:t> A.社会保障制度完善→居民收入差距缩小→居民购买力上升→消费需求增加</w:t>
      </w:r>
    </w:p>
    <w:p>
      <w:pPr>
        <w:spacing w:line="240" w:lineRule="auto"/>
        <w:ind w:firstLine="630"/>
      </w:pPr>
      <w:r>
        <w:rPr>
          <w:rFonts w:hint="eastAsia"/>
        </w:rPr>
        <w:t>  B.社会保障制度完善→国家财政支出增加→居民劳动报酬增加→居民购买力提高</w:t>
      </w:r>
    </w:p>
    <w:p>
      <w:pPr>
        <w:spacing w:line="240" w:lineRule="auto"/>
        <w:ind w:firstLine="630"/>
      </w:pPr>
      <w:r>
        <w:rPr>
          <w:rFonts w:hint="eastAsia"/>
        </w:rPr>
        <w:t>  C.社会保障制度完善→未来收入预期更加乐观→居民消费欲望增强→消费水平提高</w:t>
      </w:r>
    </w:p>
    <w:p>
      <w:pPr>
        <w:spacing w:line="240" w:lineRule="auto"/>
        <w:ind w:firstLine="630"/>
      </w:pPr>
      <w:r>
        <w:rPr>
          <w:rFonts w:hint="eastAsia"/>
        </w:rPr>
        <w:t>  D.社会保障制度完善→居民可支配收入提高→物价水平提高→经济高速增长</w:t>
      </w:r>
    </w:p>
    <w:p>
      <w:pPr>
        <w:spacing w:line="240" w:lineRule="auto"/>
        <w:ind w:firstLine="0" w:firstLineChars="0"/>
      </w:pPr>
      <w:r>
        <w:rPr>
          <w:rFonts w:hint="eastAsia"/>
        </w:rPr>
        <w:t>14．2017年10月发布的中国游客海外消费调查显示，消费者</w:t>
      </w:r>
      <w:r>
        <w:rPr>
          <w:rFonts w:hint="eastAsia"/>
        </w:rPr>
        <w:drawing>
          <wp:inline distT="0" distB="0" distL="114300" distR="114300">
            <wp:extent cx="17780" cy="17780"/>
            <wp:effectExtent l="0" t="0" r="0" b="0"/>
            <wp:docPr id="32"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6"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17780" cy="17780"/>
                    </a:xfrm>
                    <a:prstGeom prst="rect">
                      <a:avLst/>
                    </a:prstGeom>
                    <a:noFill/>
                    <a:ln w="9525">
                      <a:noFill/>
                    </a:ln>
                  </pic:spPr>
                </pic:pic>
              </a:graphicData>
            </a:graphic>
          </wp:inline>
        </w:drawing>
      </w:r>
      <w:r>
        <w:rPr>
          <w:rFonts w:hint="eastAsia"/>
        </w:rPr>
        <w:t>开始逃离争强好胜的奢侈品消费，尤其是与高端时尚配饰如手袋、珠宝和手表相关的消费，更加关注日常高端必需品。这表明消费者开始(　　)</w:t>
      </w:r>
      <w:r>
        <w:rPr>
          <w:rFonts w:hint="eastAsia"/>
        </w:rPr>
        <w:br w:type="textWrapping"/>
      </w:r>
      <w:r>
        <w:rPr>
          <w:rFonts w:hint="eastAsia"/>
        </w:rPr>
        <w:t>①树立求实心理，青睐理性消费　  ②克服求异心理，坚持勤俭节约　</w:t>
      </w:r>
      <w:r>
        <w:rPr>
          <w:rFonts w:hint="eastAsia"/>
        </w:rPr>
        <w:br w:type="textWrapping"/>
      </w:r>
      <w:r>
        <w:rPr>
          <w:rFonts w:hint="eastAsia"/>
        </w:rPr>
        <w:t>③克服攀比心理，倾向适度消费　  ④坚持量入为出，逐步减少消费</w:t>
      </w:r>
      <w:r>
        <w:rPr>
          <w:rFonts w:hint="eastAsia"/>
        </w:rPr>
        <w:br w:type="textWrapping"/>
      </w:r>
      <w:r>
        <w:rPr>
          <w:rFonts w:hint="eastAsia"/>
        </w:rPr>
        <w:t>A．①②      B．③④       C．②④         D．</w:t>
      </w:r>
      <w:r>
        <w:rPr>
          <w:rFonts w:hint="eastAsia"/>
        </w:rPr>
        <w:drawing>
          <wp:inline distT="0" distB="0" distL="114300" distR="114300">
            <wp:extent cx="17780" cy="16510"/>
            <wp:effectExtent l="0" t="0" r="0" b="0"/>
            <wp:docPr id="33"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7"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17780" cy="16510"/>
                    </a:xfrm>
                    <a:prstGeom prst="rect">
                      <a:avLst/>
                    </a:prstGeom>
                    <a:noFill/>
                    <a:ln w="9525">
                      <a:noFill/>
                    </a:ln>
                  </pic:spPr>
                </pic:pic>
              </a:graphicData>
            </a:graphic>
          </wp:inline>
        </w:drawing>
      </w:r>
      <w:r>
        <w:rPr>
          <w:rFonts w:hint="eastAsia"/>
        </w:rPr>
        <w:t>①③</w:t>
      </w:r>
      <w:r>
        <w:rPr>
          <w:rFonts w:hint="eastAsia"/>
        </w:rPr>
        <w:br w:type="textWrapping"/>
      </w:r>
      <w:r>
        <w:rPr>
          <w:rFonts w:hint="eastAsia"/>
        </w:rPr>
        <w:t>15．以往居民消费中的“有没有”“够不够”矛盾，现在已经转化为“好不好”“爽不爽”的矛盾。这意味着（   ）</w:t>
      </w:r>
    </w:p>
    <w:p>
      <w:pPr>
        <w:spacing w:line="240" w:lineRule="auto"/>
        <w:ind w:firstLine="630"/>
      </w:pPr>
      <w:r>
        <w:rPr>
          <w:rFonts w:hint="eastAsia"/>
        </w:rPr>
        <w:t xml:space="preserve">A．发展资料和享受资料消费已替代了生存资料消费     </w:t>
      </w:r>
    </w:p>
    <w:p>
      <w:pPr>
        <w:spacing w:line="240" w:lineRule="auto"/>
        <w:ind w:firstLine="630"/>
      </w:pPr>
      <w:r>
        <w:rPr>
          <w:rFonts w:hint="eastAsia"/>
        </w:rPr>
        <w:t>B．恩格尔系数呈上升趋势</w:t>
      </w:r>
    </w:p>
    <w:p>
      <w:pPr>
        <w:spacing w:line="240" w:lineRule="auto"/>
        <w:ind w:firstLine="630"/>
      </w:pPr>
      <w:r>
        <w:rPr>
          <w:rFonts w:hint="eastAsia"/>
        </w:rPr>
        <w:t xml:space="preserve">C. 随着收入增加，人们更加追求身心愉悦和全面发展   </w:t>
      </w:r>
    </w:p>
    <w:p>
      <w:pPr>
        <w:spacing w:line="240" w:lineRule="auto"/>
        <w:ind w:firstLine="630"/>
      </w:pPr>
      <w:r>
        <w:rPr>
          <w:rFonts w:hint="eastAsia"/>
        </w:rPr>
        <w:t>D．精神消费日益成为人们最基本的消费</w:t>
      </w:r>
    </w:p>
    <w:p>
      <w:pPr>
        <w:spacing w:line="240" w:lineRule="auto"/>
        <w:ind w:firstLine="0" w:firstLineChars="0"/>
      </w:pPr>
      <w:r>
        <w:rPr>
          <w:rFonts w:hint="eastAsia"/>
        </w:rPr>
        <w:t>16</w:t>
      </w:r>
      <w:r>
        <w:t>．受到身边很多朋友的影响，最近王先生早晨上班，要从家附近骑共享单车到地铁站，再乘坐地铁到单位上班。节假日，王先生和朋友一起租辆车、租上户外旅行装备，开启旅行模式……这种“租——用——还”循环性消费的生活方式（   ）</w:t>
      </w:r>
    </w:p>
    <w:p>
      <w:pPr>
        <w:spacing w:line="240" w:lineRule="auto"/>
        <w:ind w:firstLine="630"/>
      </w:pPr>
      <w:r>
        <w:t>①绿色低碳，提高了资源利</w:t>
      </w:r>
      <w:r>
        <w:rPr>
          <w:rFonts w:hint="eastAsia"/>
        </w:rPr>
        <w:t xml:space="preserve">     </w:t>
      </w:r>
      <w:r>
        <w:t>②让租赁的商品被多次利用，增加了商品的价值</w:t>
      </w:r>
    </w:p>
    <w:p>
      <w:pPr>
        <w:spacing w:line="240" w:lineRule="auto"/>
        <w:ind w:firstLine="630"/>
      </w:pPr>
      <w:r>
        <w:t>③帮助没有太多积蓄的人提高偿还能</w:t>
      </w:r>
      <w:r>
        <w:rPr>
          <w:rFonts w:hint="eastAsia"/>
        </w:rPr>
        <w:t xml:space="preserve">  </w:t>
      </w:r>
      <w:r>
        <w:t>④利用人们的从众心理，推行环保消费理念</w:t>
      </w:r>
    </w:p>
    <w:p>
      <w:pPr>
        <w:spacing w:line="240" w:lineRule="auto"/>
        <w:ind w:firstLine="630"/>
      </w:pPr>
      <w:r>
        <w:t xml:space="preserve">A. ①②      B. ①④   </w:t>
      </w:r>
      <w:r>
        <w:rPr>
          <w:rFonts w:hint="eastAsia"/>
        </w:rPr>
        <w:t xml:space="preserve"> </w:t>
      </w:r>
      <w:r>
        <w:t xml:space="preserve">  </w:t>
      </w:r>
      <w:r>
        <w:rPr>
          <w:rFonts w:hint="eastAsia"/>
        </w:rPr>
        <w:t xml:space="preserve"> </w:t>
      </w:r>
      <w:r>
        <w:t xml:space="preserve"> C. ②③     </w:t>
      </w:r>
      <w:r>
        <w:rPr>
          <w:rFonts w:hint="eastAsia"/>
        </w:rPr>
        <w:t xml:space="preserve">  </w:t>
      </w:r>
      <w:r>
        <w:t xml:space="preserve"> D. ③④</w:t>
      </w:r>
    </w:p>
    <w:p>
      <w:pPr>
        <w:spacing w:line="240" w:lineRule="auto"/>
        <w:ind w:firstLine="0" w:firstLineChars="0"/>
      </w:pPr>
      <w:r>
        <w:rPr>
          <w:rFonts w:hint="eastAsia"/>
        </w:rPr>
        <w:t>17．食品支出占家庭消费总支出的比例被称为恩格尔系数。根据图中恩格尔系数的变化推测对我国经济产生的影响是：</w:t>
      </w:r>
      <w:r>
        <w:t>（   ）</w:t>
      </w:r>
      <w:r>
        <w:fldChar w:fldCharType="begin"/>
      </w:r>
      <w:r>
        <w:instrText xml:space="preserve"> HYPERLINK "http://z3.2003y.net/117787/uploadpic/2018081607410483628.jpg" \o "点击图片看全图" \t "http://z3.2003y.net/117787/_blank" </w:instrText>
      </w:r>
      <w:r>
        <w:fldChar w:fldCharType="separate"/>
      </w:r>
      <w:r>
        <w:fldChar w:fldCharType="end"/>
      </w:r>
    </w:p>
    <w:p>
      <w:pPr>
        <w:spacing w:line="240" w:lineRule="auto"/>
        <w:ind w:firstLine="630"/>
      </w:pPr>
      <w:r>
        <w:rPr>
          <w:rFonts w:hint="eastAsia"/>
        </w:rPr>
        <w:drawing>
          <wp:inline distT="0" distB="0" distL="114300" distR="114300">
            <wp:extent cx="3426460" cy="1485265"/>
            <wp:effectExtent l="0" t="0" r="2540" b="635"/>
            <wp:docPr id="16" name="图片 16" descr="IMG_257">
              <a:hlinkClick xmlns:a="http://schemas.openxmlformats.org/drawingml/2006/main" r:id="rId15"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57"/>
                    <pic:cNvPicPr>
                      <a:picLocks noChangeAspect="1"/>
                    </pic:cNvPicPr>
                  </pic:nvPicPr>
                  <pic:blipFill>
                    <a:blip r:embed="rId16" cstate="print"/>
                    <a:stretch>
                      <a:fillRect/>
                    </a:stretch>
                  </pic:blipFill>
                  <pic:spPr>
                    <a:xfrm>
                      <a:off x="0" y="0"/>
                      <a:ext cx="3426460" cy="1485265"/>
                    </a:xfrm>
                    <a:prstGeom prst="rect">
                      <a:avLst/>
                    </a:prstGeom>
                    <a:noFill/>
                    <a:ln w="9525">
                      <a:noFill/>
                    </a:ln>
                  </pic:spPr>
                </pic:pic>
              </a:graphicData>
            </a:graphic>
          </wp:inline>
        </w:drawing>
      </w:r>
    </w:p>
    <w:p>
      <w:pPr>
        <w:spacing w:line="240" w:lineRule="auto"/>
        <w:ind w:firstLine="630"/>
      </w:pPr>
      <w:r>
        <w:rPr>
          <w:rFonts w:hint="eastAsia"/>
        </w:rPr>
        <w:t>注：联合国划分的富足标准：20%～30%。</w:t>
      </w:r>
    </w:p>
    <w:p>
      <w:pPr>
        <w:spacing w:line="240" w:lineRule="auto"/>
        <w:ind w:firstLine="630"/>
      </w:pPr>
      <w:r>
        <w:rPr>
          <w:rFonts w:hint="eastAsia"/>
        </w:rPr>
        <w:t>①促使产业结构优化升级       ②经济发展向高质量转化</w:t>
      </w:r>
    </w:p>
    <w:p>
      <w:pPr>
        <w:spacing w:line="240" w:lineRule="auto"/>
        <w:ind w:firstLine="630"/>
      </w:pPr>
      <w:r>
        <w:rPr>
          <w:rFonts w:hint="eastAsia"/>
        </w:rPr>
        <w:t>③将会减少社会保障支出       ④居民收入水平持续向好</w:t>
      </w:r>
    </w:p>
    <w:p>
      <w:pPr>
        <w:spacing w:line="240" w:lineRule="auto"/>
        <w:ind w:firstLine="630"/>
      </w:pPr>
      <w:r>
        <w:rPr>
          <w:rFonts w:hint="eastAsia"/>
        </w:rPr>
        <w:t> A.①②                     B.①④               C.②③              D.③④</w:t>
      </w:r>
    </w:p>
    <w:p>
      <w:pPr>
        <w:spacing w:line="240" w:lineRule="auto"/>
        <w:ind w:firstLine="0" w:firstLineChars="0"/>
      </w:pPr>
      <w:r>
        <w:t>1</w:t>
      </w:r>
      <w:r>
        <w:rPr>
          <w:rFonts w:hint="eastAsia"/>
        </w:rPr>
        <w:t>8</w:t>
      </w:r>
      <w:r>
        <w:t xml:space="preserve">．如果用一句话概括供给侧结构性改革，就是用有效供给满足优质需求。消费结构升级要求供给结构升级，供给侧的矛盾和问题越来越突出，这才有了“有效供给”的高要求。供给侧结构性改革体现了（   ）   </w:t>
      </w:r>
    </w:p>
    <w:p>
      <w:pPr>
        <w:spacing w:line="240" w:lineRule="auto"/>
        <w:ind w:firstLine="630"/>
      </w:pPr>
      <w:r>
        <w:t>①生产决定消费的方式　</w:t>
      </w:r>
      <w:r>
        <w:rPr>
          <w:rFonts w:hint="eastAsia"/>
        </w:rPr>
        <w:t xml:space="preserve">    </w:t>
      </w:r>
      <w:r>
        <w:t>②生产以消费为导向　</w:t>
      </w:r>
    </w:p>
    <w:p>
      <w:pPr>
        <w:spacing w:line="240" w:lineRule="auto"/>
        <w:ind w:firstLine="630"/>
      </w:pPr>
      <w:r>
        <w:t>③消费是生产的最终目的　</w:t>
      </w:r>
      <w:r>
        <w:rPr>
          <w:rFonts w:hint="eastAsia"/>
        </w:rPr>
        <w:t xml:space="preserve">  </w:t>
      </w:r>
      <w:r>
        <w:t>④生产是消费的动力</w:t>
      </w:r>
    </w:p>
    <w:p>
      <w:pPr>
        <w:spacing w:line="240" w:lineRule="auto"/>
        <w:ind w:firstLine="630"/>
      </w:pPr>
      <w:r>
        <w:t xml:space="preserve">A.①③  </w:t>
      </w:r>
      <w:r>
        <w:rPr>
          <w:rFonts w:hint="eastAsia"/>
        </w:rPr>
        <w:t xml:space="preserve">   </w:t>
      </w:r>
      <w:r>
        <w:t xml:space="preserve">  B．①④   </w:t>
      </w:r>
      <w:r>
        <w:rPr>
          <w:rFonts w:hint="eastAsia"/>
        </w:rPr>
        <w:t xml:space="preserve">    </w:t>
      </w:r>
      <w:r>
        <w:t xml:space="preserve">C．②③  </w:t>
      </w:r>
      <w:r>
        <w:rPr>
          <w:rFonts w:hint="eastAsia"/>
        </w:rPr>
        <w:t xml:space="preserve">   </w:t>
      </w:r>
      <w:r>
        <w:t xml:space="preserve"> </w:t>
      </w:r>
      <w:r>
        <w:rPr>
          <w:rFonts w:hint="eastAsia"/>
        </w:rPr>
        <w:t xml:space="preserve"> </w:t>
      </w:r>
      <w:r>
        <w:t xml:space="preserve"> D．②④</w:t>
      </w:r>
    </w:p>
    <w:p>
      <w:pPr>
        <w:spacing w:line="240" w:lineRule="auto"/>
        <w:ind w:firstLine="0" w:firstLineChars="0"/>
      </w:pPr>
      <w:r>
        <w:rPr>
          <w:rFonts w:hint="eastAsia"/>
        </w:rPr>
        <w:t>19．根据国有企业“十项改革试点”计划，国有资本投资公司将以服务国家战略、提升产业竞争力为主要目标，通过开展投资融资、产业培育和资本融合等，投资和发展国民经济的重要行业、关键领域、战略性新兴产业和优势支柱性产业。这些改</w:t>
      </w:r>
      <w:r>
        <w:rPr>
          <w:rFonts w:hint="eastAsia"/>
        </w:rPr>
        <w:drawing>
          <wp:inline distT="0" distB="0" distL="114300" distR="114300">
            <wp:extent cx="18415" cy="24130"/>
            <wp:effectExtent l="0" t="0" r="0" b="0"/>
            <wp:docPr id="20"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descr="学科网(www.zxxk.com)--教育资源门户，提供试卷、教案、课件、论文、素材及各类教学资源下载，还有大量而丰富的教学相关资讯！"/>
                    <pic:cNvPicPr>
                      <a:picLocks noChangeAspect="1"/>
                    </pic:cNvPicPr>
                  </pic:nvPicPr>
                  <pic:blipFill>
                    <a:blip r:embed="rId17" cstate="print"/>
                    <a:stretch>
                      <a:fillRect/>
                    </a:stretch>
                  </pic:blipFill>
                  <pic:spPr>
                    <a:xfrm>
                      <a:off x="0" y="0"/>
                      <a:ext cx="18415" cy="24130"/>
                    </a:xfrm>
                    <a:prstGeom prst="rect">
                      <a:avLst/>
                    </a:prstGeom>
                    <a:noFill/>
                    <a:ln w="9525">
                      <a:noFill/>
                    </a:ln>
                  </pic:spPr>
                </pic:pic>
              </a:graphicData>
            </a:graphic>
          </wp:inline>
        </w:drawing>
      </w:r>
      <w:r>
        <w:rPr>
          <w:rFonts w:hint="eastAsia"/>
        </w:rPr>
        <w:t>革举措的实施将有利于</w:t>
      </w:r>
      <w:r>
        <w:t>（   ）</w:t>
      </w:r>
    </w:p>
    <w:p>
      <w:pPr>
        <w:spacing w:line="240" w:lineRule="auto"/>
        <w:ind w:firstLine="630"/>
      </w:pPr>
      <w:r>
        <w:rPr>
          <w:rFonts w:hint="eastAsia"/>
        </w:rPr>
        <w:t>①增强公有制经济的控制力和主导作用，全面建成小康社会</w:t>
      </w:r>
    </w:p>
    <w:p>
      <w:pPr>
        <w:spacing w:line="240" w:lineRule="auto"/>
        <w:ind w:firstLine="630"/>
      </w:pPr>
      <w:r>
        <w:rPr>
          <w:rFonts w:hint="eastAsia"/>
        </w:rPr>
        <w:t>②增强我国的经济实力，发挥社会主义制度的优越性</w:t>
      </w:r>
    </w:p>
    <w:p>
      <w:pPr>
        <w:spacing w:line="240" w:lineRule="auto"/>
        <w:ind w:firstLine="630"/>
      </w:pPr>
      <w:r>
        <w:rPr>
          <w:rFonts w:hint="eastAsia"/>
        </w:rPr>
        <w:t>③掌握国家的经济命脉，巩固国有经济在国民经济中的主体地位</w:t>
      </w:r>
    </w:p>
    <w:p>
      <w:pPr>
        <w:spacing w:line="240" w:lineRule="auto"/>
        <w:ind w:firstLine="630"/>
      </w:pPr>
      <w:r>
        <w:rPr>
          <w:rFonts w:hint="eastAsia"/>
        </w:rPr>
        <w:t>④调整和优化国有经济的布局和结构，巩固社会主义经济制度的基础</w:t>
      </w:r>
    </w:p>
    <w:p>
      <w:pPr>
        <w:spacing w:line="240" w:lineRule="auto"/>
        <w:ind w:firstLine="630"/>
      </w:pPr>
      <w:r>
        <w:t xml:space="preserve">A. </w:t>
      </w:r>
      <w:r>
        <w:rPr>
          <w:rFonts w:hint="eastAsia"/>
        </w:rPr>
        <w:t>①②</w:t>
      </w:r>
      <w:r>
        <w:t xml:space="preserve">    </w:t>
      </w:r>
      <w:r>
        <w:tab/>
      </w:r>
      <w:r>
        <w:tab/>
      </w:r>
      <w:r>
        <w:tab/>
      </w:r>
      <w:r>
        <w:t xml:space="preserve">B. </w:t>
      </w:r>
      <w:r>
        <w:rPr>
          <w:rFonts w:hint="eastAsia"/>
        </w:rPr>
        <w:t>①③</w:t>
      </w:r>
      <w:r>
        <w:t xml:space="preserve">    </w:t>
      </w:r>
      <w:r>
        <w:tab/>
      </w:r>
      <w:r>
        <w:tab/>
      </w:r>
      <w:r>
        <w:t xml:space="preserve">C. </w:t>
      </w:r>
      <w:r>
        <w:rPr>
          <w:rFonts w:hint="eastAsia"/>
        </w:rPr>
        <w:t>②④</w:t>
      </w:r>
      <w:r>
        <w:t xml:space="preserve">   </w:t>
      </w:r>
      <w:r>
        <w:tab/>
      </w:r>
      <w:r>
        <w:tab/>
      </w:r>
      <w:r>
        <w:t xml:space="preserve"> D. </w:t>
      </w:r>
      <w:r>
        <w:rPr>
          <w:rFonts w:hint="eastAsia"/>
        </w:rPr>
        <w:t>③④</w:t>
      </w:r>
    </w:p>
    <w:p>
      <w:pPr>
        <w:spacing w:line="240" w:lineRule="auto"/>
        <w:ind w:firstLine="0" w:firstLineChars="0"/>
      </w:pPr>
      <w:r>
        <w:rPr>
          <w:rFonts w:hint="eastAsia"/>
        </w:rPr>
        <w:t>20．</w:t>
      </w:r>
      <w:r>
        <w:t>对社会主义初级阶段我国公有制的正确认识是（　　）</w:t>
      </w:r>
    </w:p>
    <w:p>
      <w:pPr>
        <w:spacing w:line="240" w:lineRule="auto"/>
        <w:ind w:firstLine="630"/>
      </w:pPr>
      <w:r>
        <w:rPr>
          <w:rFonts w:hint="eastAsia"/>
        </w:rPr>
        <w:t>①</w:t>
      </w:r>
      <w:r>
        <w:t>它是我国社会主义基本经济制度的基础</w:t>
      </w:r>
    </w:p>
    <w:p>
      <w:pPr>
        <w:spacing w:line="240" w:lineRule="auto"/>
        <w:ind w:firstLine="630"/>
      </w:pPr>
      <w:r>
        <w:rPr>
          <w:rFonts w:hint="eastAsia"/>
        </w:rPr>
        <w:t>②</w:t>
      </w:r>
      <w:r>
        <w:t>它在国民经济中居于主体地位</w:t>
      </w:r>
    </w:p>
    <w:p>
      <w:pPr>
        <w:spacing w:line="240" w:lineRule="auto"/>
        <w:ind w:firstLine="630"/>
      </w:pPr>
      <w:r>
        <w:rPr>
          <w:rFonts w:hint="eastAsia"/>
        </w:rPr>
        <w:t>③</w:t>
      </w:r>
      <w:r>
        <w:t>公有制经济包括国有经济、集体经济和股份制经济</w:t>
      </w:r>
    </w:p>
    <w:p>
      <w:pPr>
        <w:spacing w:line="240" w:lineRule="auto"/>
        <w:ind w:firstLine="630"/>
      </w:pPr>
      <w:r>
        <w:rPr>
          <w:rFonts w:hint="eastAsia"/>
        </w:rPr>
        <w:t>④</w:t>
      </w:r>
      <w:r>
        <w:t>公有制实现形式表现为国有经济、集体经济、股份制经济和非公有制经济。</w:t>
      </w:r>
    </w:p>
    <w:p>
      <w:pPr>
        <w:spacing w:line="240" w:lineRule="auto"/>
        <w:ind w:firstLine="630"/>
      </w:pPr>
      <w:r>
        <w:t>A．</w:t>
      </w:r>
      <w:r>
        <w:rPr>
          <w:rFonts w:hint="eastAsia"/>
        </w:rPr>
        <w:t>①②</w:t>
      </w:r>
      <w:r>
        <w:tab/>
      </w:r>
      <w:r>
        <w:rPr>
          <w:rFonts w:hint="eastAsia"/>
        </w:rPr>
        <w:t xml:space="preserve">    </w:t>
      </w:r>
      <w:r>
        <w:t>B．</w:t>
      </w:r>
      <w:r>
        <w:rPr>
          <w:rFonts w:hint="eastAsia"/>
        </w:rPr>
        <w:t>②③</w:t>
      </w:r>
      <w:r>
        <w:tab/>
      </w:r>
      <w:r>
        <w:rPr>
          <w:rFonts w:hint="eastAsia"/>
        </w:rPr>
        <w:t xml:space="preserve">    </w:t>
      </w:r>
      <w:r>
        <w:t>C．</w:t>
      </w:r>
      <w:r>
        <w:rPr>
          <w:rFonts w:hint="eastAsia"/>
        </w:rPr>
        <w:t>③④</w:t>
      </w:r>
      <w:r>
        <w:tab/>
      </w:r>
      <w:r>
        <w:rPr>
          <w:rFonts w:hint="eastAsia"/>
        </w:rPr>
        <w:t xml:space="preserve">    </w:t>
      </w:r>
      <w:r>
        <w:t>D．</w:t>
      </w:r>
      <w:r>
        <w:rPr>
          <w:rFonts w:hint="eastAsia"/>
        </w:rPr>
        <w:t>①④</w:t>
      </w:r>
    </w:p>
    <w:p>
      <w:pPr>
        <w:spacing w:line="240" w:lineRule="auto"/>
        <w:ind w:firstLine="0" w:firstLineChars="0"/>
      </w:pPr>
      <w:r>
        <w:rPr>
          <w:rFonts w:hint="eastAsia"/>
        </w:rPr>
        <w:t>21</w:t>
      </w:r>
      <w:r>
        <w:t>. 2017</w:t>
      </w:r>
      <w:r>
        <w:rPr>
          <w:rFonts w:hint="eastAsia"/>
        </w:rPr>
        <w:t>年</w:t>
      </w:r>
      <w:r>
        <w:t>4</w:t>
      </w:r>
      <w:r>
        <w:rPr>
          <w:rFonts w:hint="eastAsia"/>
        </w:rPr>
        <w:t>月</w:t>
      </w:r>
      <w:r>
        <w:t>13</w:t>
      </w:r>
      <w:r>
        <w:rPr>
          <w:rFonts w:hint="eastAsia"/>
        </w:rPr>
        <w:t>日</w:t>
      </w:r>
      <w:r>
        <w:t>,</w:t>
      </w:r>
      <w:r>
        <w:rPr>
          <w:rFonts w:hint="eastAsia"/>
        </w:rPr>
        <w:t>国务院批转国家发改委《关于</w:t>
      </w:r>
      <w:r>
        <w:t>2017</w:t>
      </w:r>
      <w:r>
        <w:rPr>
          <w:rFonts w:hint="eastAsia"/>
        </w:rPr>
        <w:t>年深化经济体制改革重点工作的意见》</w:t>
      </w:r>
      <w:r>
        <w:t>,</w:t>
      </w:r>
      <w:r>
        <w:rPr>
          <w:rFonts w:hint="eastAsia"/>
        </w:rPr>
        <w:t>将国企国资改革列为重点改革任务之一</w:t>
      </w:r>
      <w:r>
        <w:t>,</w:t>
      </w:r>
      <w:r>
        <w:rPr>
          <w:rFonts w:hint="eastAsia"/>
        </w:rPr>
        <w:t>明确要求</w:t>
      </w:r>
      <w:r>
        <w:t>“</w:t>
      </w:r>
      <w:r>
        <w:rPr>
          <w:rFonts w:hint="eastAsia"/>
        </w:rPr>
        <w:t>深化国有企业混合所有制改革</w:t>
      </w:r>
      <w:r>
        <w:t>”</w:t>
      </w:r>
      <w:r>
        <w:rPr>
          <w:rFonts w:hint="eastAsia"/>
        </w:rPr>
        <w:t>。</w:t>
      </w:r>
      <w:r>
        <w:t>“</w:t>
      </w:r>
      <w:r>
        <w:rPr>
          <w:rFonts w:hint="eastAsia"/>
        </w:rPr>
        <w:t>深化国有企业混合所有制改革</w:t>
      </w:r>
      <w:r>
        <w:t>”</w:t>
      </w:r>
      <w:r>
        <w:rPr>
          <w:rFonts w:hint="eastAsia"/>
        </w:rPr>
        <w:t>是基于</w:t>
      </w:r>
      <w:r>
        <w:t>（   ）</w:t>
      </w:r>
    </w:p>
    <w:p>
      <w:pPr>
        <w:spacing w:line="240" w:lineRule="auto"/>
        <w:ind w:firstLine="630"/>
      </w:pPr>
      <w:r>
        <w:rPr>
          <w:rFonts w:hint="eastAsia"/>
        </w:rPr>
        <w:t>①各种所有制可以取长补短、相互促进、共同发展</w:t>
      </w:r>
    </w:p>
    <w:p>
      <w:pPr>
        <w:spacing w:line="240" w:lineRule="auto"/>
        <w:ind w:firstLine="630"/>
      </w:pPr>
      <w:r>
        <w:rPr>
          <w:rFonts w:hint="eastAsia"/>
        </w:rPr>
        <w:t>②混合所有制经济是社会主义经济的重要组成部分</w:t>
      </w:r>
    </w:p>
    <w:p>
      <w:pPr>
        <w:spacing w:line="240" w:lineRule="auto"/>
        <w:ind w:firstLine="630"/>
      </w:pPr>
      <w:r>
        <w:rPr>
          <w:rFonts w:hint="eastAsia"/>
        </w:rPr>
        <w:t>③增强国有资本控制力、竟争力和影响力的要求</w:t>
      </w:r>
    </w:p>
    <w:p>
      <w:pPr>
        <w:spacing w:line="240" w:lineRule="auto"/>
        <w:ind w:firstLine="630"/>
      </w:pPr>
      <w:r>
        <w:rPr>
          <w:rFonts w:hint="eastAsia"/>
        </w:rPr>
        <w:t>④生产力必须同生产关系相适应的客观要求</w:t>
      </w:r>
    </w:p>
    <w:p>
      <w:pPr>
        <w:spacing w:line="240" w:lineRule="auto"/>
        <w:ind w:firstLine="630"/>
      </w:pPr>
      <w:r>
        <w:rPr>
          <w:rFonts w:ascii="宋体" w:hAnsi="宋体"/>
        </w:rPr>
        <w:t xml:space="preserve">A. ①②    </w:t>
      </w:r>
      <w:r>
        <w:t xml:space="preserve"> B</w:t>
      </w:r>
      <w:r>
        <w:rPr>
          <w:rFonts w:hint="eastAsia"/>
        </w:rPr>
        <w:t>.</w:t>
      </w:r>
      <w:r>
        <w:t xml:space="preserve"> </w:t>
      </w:r>
      <w:r>
        <w:rPr>
          <w:rFonts w:hint="eastAsia"/>
        </w:rPr>
        <w:t>①</w:t>
      </w:r>
      <w:r>
        <w:t xml:space="preserve"> </w:t>
      </w:r>
      <w:r>
        <w:rPr>
          <w:rFonts w:hint="eastAsia"/>
        </w:rPr>
        <w:t>③</w:t>
      </w:r>
      <w:r>
        <w:t xml:space="preserve">        C</w:t>
      </w:r>
      <w:r>
        <w:rPr>
          <w:rFonts w:hint="eastAsia"/>
        </w:rPr>
        <w:t>.</w:t>
      </w:r>
      <w:r>
        <w:t xml:space="preserve"> </w:t>
      </w:r>
      <w:r>
        <w:rPr>
          <w:rFonts w:hint="eastAsia"/>
        </w:rPr>
        <w:t>③</w:t>
      </w:r>
      <w:r>
        <w:t xml:space="preserve"> </w:t>
      </w:r>
      <w:r>
        <w:rPr>
          <w:rFonts w:hint="eastAsia"/>
        </w:rPr>
        <w:t>④</w:t>
      </w:r>
      <w:r>
        <w:t xml:space="preserve">      D. </w:t>
      </w:r>
      <w:r>
        <w:rPr>
          <w:rFonts w:hint="eastAsia"/>
        </w:rPr>
        <w:t>②</w:t>
      </w:r>
      <w:r>
        <w:t xml:space="preserve"> </w:t>
      </w:r>
      <w:r>
        <w:rPr>
          <w:rFonts w:hint="eastAsia"/>
        </w:rPr>
        <w:t>④</w:t>
      </w:r>
    </w:p>
    <w:p>
      <w:pPr>
        <w:spacing w:line="240" w:lineRule="auto"/>
        <w:ind w:firstLine="0" w:firstLineChars="0"/>
      </w:pPr>
      <w:r>
        <w:rPr>
          <w:rFonts w:hint="eastAsia"/>
        </w:rPr>
        <w:t>22</w:t>
      </w:r>
      <w:r>
        <w:t>．新一代人工智能技术，由商业需求尤其是互联网需求推动，并以前所未有的广度和深度对传统产业渗透。作为建设现代化经济体系“动力机”，人工智能将为传统产业的变革提供全新视角。人工智能和传统产业结合有利于（   ）</w:t>
      </w:r>
    </w:p>
    <w:p>
      <w:pPr>
        <w:spacing w:line="240" w:lineRule="auto"/>
        <w:ind w:firstLine="630"/>
      </w:pPr>
      <w:r>
        <w:t>①劳动者技术水平的提高</w:t>
      </w:r>
      <w:r>
        <w:rPr>
          <w:rFonts w:hint="eastAsia"/>
        </w:rPr>
        <w:t xml:space="preserve">                     </w:t>
      </w:r>
      <w:r>
        <w:t>②提高传统产业的劳动生产率</w:t>
      </w:r>
    </w:p>
    <w:p>
      <w:pPr>
        <w:spacing w:line="240" w:lineRule="auto"/>
        <w:ind w:firstLine="630"/>
      </w:pPr>
      <w:r>
        <w:t>③调节生产规模，增加产量</w:t>
      </w:r>
      <w:r>
        <w:rPr>
          <w:rFonts w:hint="eastAsia"/>
        </w:rPr>
        <w:t xml:space="preserve">                  </w:t>
      </w:r>
      <w:r>
        <w:t>④满足消费者高质量生活需求</w:t>
      </w:r>
    </w:p>
    <w:p>
      <w:pPr>
        <w:spacing w:line="240" w:lineRule="auto"/>
        <w:ind w:firstLine="630"/>
      </w:pPr>
      <w:r>
        <w:t>A. ①②</w:t>
      </w:r>
      <w:r>
        <w:rPr>
          <w:rFonts w:hint="eastAsia"/>
        </w:rPr>
        <w:t xml:space="preserve">    </w:t>
      </w:r>
      <w:r>
        <w:t>B. ①④</w:t>
      </w:r>
      <w:r>
        <w:rPr>
          <w:rFonts w:hint="eastAsia"/>
        </w:rPr>
        <w:t xml:space="preserve">   </w:t>
      </w:r>
      <w:r>
        <w:t>C. ②④</w:t>
      </w:r>
      <w:r>
        <w:rPr>
          <w:rFonts w:hint="eastAsia"/>
        </w:rPr>
        <w:t xml:space="preserve">     </w:t>
      </w:r>
      <w:r>
        <w:t>D. ③④</w:t>
      </w:r>
    </w:p>
    <w:p>
      <w:pPr>
        <w:spacing w:line="240" w:lineRule="auto"/>
        <w:ind w:firstLine="0" w:firstLineChars="0"/>
      </w:pPr>
      <w:r>
        <w:rPr>
          <w:rFonts w:hint="eastAsia"/>
        </w:rPr>
        <w:t>2</w:t>
      </w:r>
      <w:r>
        <w:t>3．2017年9月5日，中共中央、国务院印发的《关于开展质量提升行动的指导意见》提出，坚持以企业为质量提升主体。这要求企业（   ）</w:t>
      </w:r>
    </w:p>
    <w:p>
      <w:pPr>
        <w:spacing w:line="240" w:lineRule="auto"/>
        <w:ind w:firstLine="630"/>
      </w:pPr>
      <w:r>
        <w:t>①提升核心竞争力，加强全过程全方位的质量管理</w:t>
      </w:r>
    </w:p>
    <w:p>
      <w:pPr>
        <w:spacing w:line="240" w:lineRule="auto"/>
        <w:ind w:firstLine="630"/>
      </w:pPr>
      <w:r>
        <w:t>②积极推进供给侧结构性改革，优化产品供给结构</w:t>
      </w:r>
    </w:p>
    <w:p>
      <w:pPr>
        <w:spacing w:line="240" w:lineRule="auto"/>
        <w:ind w:firstLine="630"/>
      </w:pPr>
      <w:r>
        <w:t>③以提高效益为中心，弘扬企业家精神和工匠精神</w:t>
      </w:r>
    </w:p>
    <w:p>
      <w:pPr>
        <w:spacing w:line="240" w:lineRule="auto"/>
        <w:ind w:firstLine="630"/>
      </w:pPr>
      <w:r>
        <w:t>④落实质量强国战略，提高企业员工产品质量意识</w:t>
      </w:r>
    </w:p>
    <w:p>
      <w:pPr>
        <w:spacing w:line="240" w:lineRule="auto"/>
        <w:ind w:firstLine="630"/>
      </w:pPr>
      <w:r>
        <w:t>A. ①③</w:t>
      </w:r>
      <w:r>
        <w:rPr>
          <w:rFonts w:hint="eastAsia"/>
        </w:rPr>
        <w:t xml:space="preserve">   </w:t>
      </w:r>
      <w:r>
        <w:t>B. ①④</w:t>
      </w:r>
      <w:r>
        <w:rPr>
          <w:rFonts w:hint="eastAsia"/>
        </w:rPr>
        <w:t xml:space="preserve">    </w:t>
      </w:r>
      <w:r>
        <w:t>C. ③④</w:t>
      </w:r>
      <w:r>
        <w:rPr>
          <w:rFonts w:hint="eastAsia"/>
        </w:rPr>
        <w:t xml:space="preserve">    </w:t>
      </w:r>
      <w:r>
        <w:t>D. ②④</w:t>
      </w:r>
    </w:p>
    <w:p>
      <w:pPr>
        <w:spacing w:line="240" w:lineRule="auto"/>
        <w:ind w:firstLine="0" w:firstLineChars="0"/>
      </w:pPr>
      <w:r>
        <w:rPr>
          <w:rFonts w:hint="eastAsia"/>
        </w:rPr>
        <w:t>24</w:t>
      </w:r>
      <w:r>
        <w:t>．所谓“禀赋效应”是指当某人一旦拥有某项物品后，即对该物品价值的评价要比未拥有之前大大增加。因为他们拥有一件东西时，受到了“放弃东西会产生痛苦”(即损失厌恶)的影响，就倾向于对商品做出更高的估价。下列营销策略中体现该效应的是（   ）</w:t>
      </w:r>
    </w:p>
    <w:p>
      <w:pPr>
        <w:spacing w:line="240" w:lineRule="auto"/>
        <w:ind w:firstLine="630"/>
      </w:pPr>
      <w:r>
        <w:t>①汽车销售商让客户把车先开回家试用后再决定是否购买</w:t>
      </w:r>
    </w:p>
    <w:p>
      <w:pPr>
        <w:spacing w:line="240" w:lineRule="auto"/>
        <w:ind w:firstLine="630"/>
      </w:pPr>
      <w:r>
        <w:t>②商家通过高价聘请明星代言自己的产品来扩大产品销售</w:t>
      </w:r>
    </w:p>
    <w:p>
      <w:pPr>
        <w:spacing w:line="240" w:lineRule="auto"/>
        <w:ind w:firstLine="630"/>
      </w:pPr>
      <w:r>
        <w:t>③地产营销中常常通过先付定金的方式来锁定意向购房者</w:t>
      </w:r>
    </w:p>
    <w:p>
      <w:pPr>
        <w:spacing w:line="240" w:lineRule="auto"/>
        <w:ind w:firstLine="630"/>
      </w:pPr>
      <w:r>
        <w:t>④某电商利用“双十一”进行打折促销活动以提高销售额</w:t>
      </w:r>
    </w:p>
    <w:p>
      <w:pPr>
        <w:spacing w:line="240" w:lineRule="auto"/>
        <w:ind w:firstLine="630"/>
      </w:pPr>
      <w:r>
        <w:t>A. ①②    B. ①③    C. ②④    D. ③④</w:t>
      </w:r>
    </w:p>
    <w:p>
      <w:pPr>
        <w:spacing w:line="240" w:lineRule="auto"/>
        <w:ind w:firstLine="0" w:firstLineChars="0"/>
      </w:pPr>
      <w:r>
        <w:rPr>
          <w:rFonts w:hint="eastAsia"/>
        </w:rPr>
        <w:t>25</w:t>
      </w:r>
      <w:r>
        <w:t>．美国总统特朗普提出了四个刺激经济的政策：一是降低税收；二是贸易保护；三是产业回迁；四是大兴基建。其中贸易保护和产业回迁对我国经济将会产生较大影响。甲、乙、丙、丁四位同学分别就此提出了建议，你认为最合适的是（   ）</w:t>
      </w:r>
    </w:p>
    <w:p>
      <w:pPr>
        <w:spacing w:line="240" w:lineRule="auto"/>
        <w:ind w:firstLine="630"/>
      </w:pPr>
      <w:r>
        <w:t>A. 甲：中国也应全面推行贸易保护，培养国内市场，提高本土企业的国内竞争力</w:t>
      </w:r>
    </w:p>
    <w:p>
      <w:pPr>
        <w:spacing w:line="240" w:lineRule="auto"/>
        <w:ind w:firstLine="630"/>
      </w:pPr>
      <w:r>
        <w:t>B. 乙：中国应对外资企业实行税收减免，减少美国产业回迁政策的负面影响</w:t>
      </w:r>
    </w:p>
    <w:p>
      <w:pPr>
        <w:spacing w:line="240" w:lineRule="auto"/>
        <w:ind w:firstLine="630"/>
      </w:pPr>
      <w:r>
        <w:t>C. 丙：中国应进一步推进供给侧结构性改革，扩大内需，积极开拓多元国际市场</w:t>
      </w:r>
    </w:p>
    <w:p>
      <w:pPr>
        <w:spacing w:line="240" w:lineRule="auto"/>
        <w:ind w:firstLine="630"/>
      </w:pPr>
      <w:r>
        <w:t>D. 丁：中国应不断降低人民币汇率，通过人民币贬值吸引投资，扩大出口</w:t>
      </w:r>
    </w:p>
    <w:p>
      <w:pPr>
        <w:spacing w:line="240" w:lineRule="auto"/>
        <w:ind w:firstLine="630"/>
      </w:pPr>
    </w:p>
    <w:p>
      <w:pPr>
        <w:spacing w:line="240" w:lineRule="auto"/>
        <w:ind w:firstLine="630"/>
      </w:pPr>
    </w:p>
    <w:p>
      <w:pPr>
        <w:spacing w:line="240" w:lineRule="auto"/>
        <w:ind w:firstLine="630"/>
      </w:pPr>
    </w:p>
    <w:p>
      <w:pPr>
        <w:spacing w:line="240" w:lineRule="auto"/>
        <w:ind w:firstLine="0" w:firstLineChars="0"/>
        <w:rPr>
          <w:szCs w:val="21"/>
        </w:rPr>
      </w:pPr>
    </w:p>
    <w:p>
      <w:pPr>
        <w:spacing w:line="240" w:lineRule="auto"/>
        <w:ind w:firstLine="0" w:firstLineChars="0"/>
        <w:rPr>
          <w:szCs w:val="21"/>
        </w:rPr>
      </w:pPr>
    </w:p>
    <w:p>
      <w:pPr>
        <w:spacing w:line="240" w:lineRule="auto"/>
        <w:ind w:firstLine="0" w:firstLineChars="0"/>
        <w:rPr>
          <w:rFonts w:ascii="宋体" w:hAnsi="宋体"/>
          <w:b/>
          <w:bCs/>
          <w:szCs w:val="21"/>
        </w:rPr>
      </w:pPr>
      <w:r>
        <w:rPr>
          <w:rFonts w:hint="eastAsia" w:ascii="宋体" w:hAnsi="宋体"/>
          <w:b/>
          <w:bCs/>
          <w:szCs w:val="21"/>
        </w:rPr>
        <w:t>二、非选择题（共50分）</w:t>
      </w:r>
    </w:p>
    <w:p>
      <w:pPr>
        <w:widowControl w:val="0"/>
        <w:spacing w:line="240" w:lineRule="auto"/>
        <w:ind w:firstLine="630"/>
      </w:pPr>
      <w:r>
        <w:rPr>
          <w:rFonts w:hint="eastAsia"/>
        </w:rPr>
        <w:t>26.</w:t>
      </w:r>
      <w:r>
        <w:t xml:space="preserve">LED半导体照明开启了照明时代新纪元,目前它的价格虽然较高,但人们仍相信它的前景会一片光明。读下表回答问题。 </w:t>
      </w:r>
    </w:p>
    <w:tbl>
      <w:tblPr>
        <w:tblStyle w:val="8"/>
        <w:tblW w:w="7728"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2089"/>
        <w:gridCol w:w="1879"/>
        <w:gridCol w:w="1879"/>
        <w:gridCol w:w="1881"/>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c>
          <w:tcPr>
            <w:tcW w:w="2089"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tcPr>
          <w:p>
            <w:pPr>
              <w:widowControl w:val="0"/>
              <w:spacing w:line="240" w:lineRule="auto"/>
              <w:ind w:firstLine="630"/>
              <w:jc w:val="center"/>
            </w:pPr>
            <w:r>
              <w:t>名称</w:t>
            </w:r>
          </w:p>
        </w:tc>
        <w:tc>
          <w:tcPr>
            <w:tcW w:w="1879" w:type="dxa"/>
            <w:tcBorders>
              <w:top w:val="single" w:color="000000" w:sz="8" w:space="0"/>
              <w:bottom w:val="single" w:color="000000" w:sz="8" w:space="0"/>
              <w:right w:val="single" w:color="000000" w:sz="8" w:space="0"/>
            </w:tcBorders>
            <w:tcMar>
              <w:top w:w="10" w:type="dxa"/>
              <w:left w:w="108" w:type="dxa"/>
              <w:bottom w:w="10" w:type="dxa"/>
              <w:right w:w="118" w:type="dxa"/>
            </w:tcMar>
          </w:tcPr>
          <w:p>
            <w:pPr>
              <w:widowControl w:val="0"/>
              <w:spacing w:line="240" w:lineRule="auto"/>
              <w:ind w:firstLine="630"/>
            </w:pPr>
            <w:r>
              <w:t xml:space="preserve">白炽灯 </w:t>
            </w:r>
          </w:p>
        </w:tc>
        <w:tc>
          <w:tcPr>
            <w:tcW w:w="1879" w:type="dxa"/>
            <w:tcBorders>
              <w:top w:val="single" w:color="000000" w:sz="8" w:space="0"/>
              <w:bottom w:val="single" w:color="000000" w:sz="8" w:space="0"/>
              <w:right w:val="single" w:color="000000" w:sz="8" w:space="0"/>
            </w:tcBorders>
            <w:tcMar>
              <w:top w:w="10" w:type="dxa"/>
              <w:left w:w="118" w:type="dxa"/>
              <w:bottom w:w="10" w:type="dxa"/>
              <w:right w:w="118" w:type="dxa"/>
            </w:tcMar>
          </w:tcPr>
          <w:p>
            <w:pPr>
              <w:widowControl w:val="0"/>
              <w:spacing w:line="240" w:lineRule="auto"/>
              <w:ind w:firstLine="630"/>
            </w:pPr>
            <w:r>
              <w:t xml:space="preserve">节能灯 </w:t>
            </w:r>
          </w:p>
        </w:tc>
        <w:tc>
          <w:tcPr>
            <w:tcW w:w="1881" w:type="dxa"/>
            <w:tcBorders>
              <w:top w:val="single" w:color="000000" w:sz="8" w:space="0"/>
              <w:bottom w:val="single" w:color="000000" w:sz="8" w:space="0"/>
              <w:right w:val="single" w:color="000000" w:sz="8" w:space="0"/>
            </w:tcBorders>
            <w:tcMar>
              <w:top w:w="10" w:type="dxa"/>
              <w:left w:w="118" w:type="dxa"/>
              <w:bottom w:w="10" w:type="dxa"/>
              <w:right w:w="118" w:type="dxa"/>
            </w:tcMar>
          </w:tcPr>
          <w:p>
            <w:pPr>
              <w:widowControl w:val="0"/>
              <w:spacing w:line="240" w:lineRule="auto"/>
              <w:ind w:firstLine="630"/>
            </w:pPr>
            <w:r>
              <w:t xml:space="preserve">LED灯 </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c>
          <w:tcPr>
            <w:tcW w:w="2089" w:type="dxa"/>
            <w:tcBorders>
              <w:left w:val="single" w:color="000000" w:sz="8" w:space="0"/>
              <w:bottom w:val="single" w:color="000000" w:sz="8" w:space="0"/>
              <w:right w:val="single" w:color="000000" w:sz="8" w:space="0"/>
            </w:tcBorders>
            <w:tcMar>
              <w:top w:w="0" w:type="dxa"/>
              <w:left w:w="118" w:type="dxa"/>
              <w:bottom w:w="10" w:type="dxa"/>
              <w:right w:w="118" w:type="dxa"/>
            </w:tcMar>
          </w:tcPr>
          <w:p>
            <w:pPr>
              <w:widowControl w:val="0"/>
              <w:spacing w:line="240" w:lineRule="auto"/>
              <w:ind w:firstLine="210" w:firstLineChars="100"/>
              <w:jc w:val="center"/>
            </w:pPr>
            <w:r>
              <w:t>单个生产成本</w:t>
            </w:r>
          </w:p>
        </w:tc>
        <w:tc>
          <w:tcPr>
            <w:tcW w:w="1879" w:type="dxa"/>
            <w:tcBorders>
              <w:bottom w:val="single" w:color="000000" w:sz="8" w:space="0"/>
              <w:right w:val="single" w:color="000000" w:sz="8" w:space="0"/>
            </w:tcBorders>
            <w:tcMar>
              <w:top w:w="0" w:type="dxa"/>
              <w:left w:w="108" w:type="dxa"/>
              <w:bottom w:w="10" w:type="dxa"/>
              <w:right w:w="118" w:type="dxa"/>
            </w:tcMar>
          </w:tcPr>
          <w:p>
            <w:pPr>
              <w:widowControl w:val="0"/>
              <w:spacing w:line="240" w:lineRule="auto"/>
              <w:ind w:firstLine="630"/>
            </w:pPr>
            <w:r>
              <w:t xml:space="preserve">1元 </w:t>
            </w:r>
          </w:p>
        </w:tc>
        <w:tc>
          <w:tcPr>
            <w:tcW w:w="1879" w:type="dxa"/>
            <w:tcBorders>
              <w:bottom w:val="single" w:color="000000" w:sz="8" w:space="0"/>
              <w:right w:val="single" w:color="000000" w:sz="8" w:space="0"/>
            </w:tcBorders>
            <w:tcMar>
              <w:top w:w="0" w:type="dxa"/>
              <w:left w:w="118" w:type="dxa"/>
              <w:bottom w:w="10" w:type="dxa"/>
              <w:right w:w="118" w:type="dxa"/>
            </w:tcMar>
          </w:tcPr>
          <w:p>
            <w:pPr>
              <w:widowControl w:val="0"/>
              <w:spacing w:line="240" w:lineRule="auto"/>
              <w:ind w:firstLine="630"/>
            </w:pPr>
            <w:r>
              <w:t xml:space="preserve">13元 </w:t>
            </w:r>
          </w:p>
        </w:tc>
        <w:tc>
          <w:tcPr>
            <w:tcW w:w="1881" w:type="dxa"/>
            <w:tcBorders>
              <w:bottom w:val="single" w:color="000000" w:sz="8" w:space="0"/>
              <w:right w:val="single" w:color="000000" w:sz="8" w:space="0"/>
            </w:tcBorders>
            <w:tcMar>
              <w:top w:w="0" w:type="dxa"/>
              <w:left w:w="118" w:type="dxa"/>
              <w:bottom w:w="10" w:type="dxa"/>
              <w:right w:w="118" w:type="dxa"/>
            </w:tcMar>
          </w:tcPr>
          <w:p>
            <w:pPr>
              <w:widowControl w:val="0"/>
              <w:spacing w:line="240" w:lineRule="auto"/>
              <w:ind w:firstLine="630"/>
            </w:pPr>
            <w:r>
              <w:t xml:space="preserve">33.6元 </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c>
          <w:tcPr>
            <w:tcW w:w="2089" w:type="dxa"/>
            <w:tcBorders>
              <w:left w:val="single" w:color="000000" w:sz="8" w:space="0"/>
              <w:bottom w:val="single" w:color="000000" w:sz="8" w:space="0"/>
              <w:right w:val="single" w:color="000000" w:sz="8" w:space="0"/>
            </w:tcBorders>
            <w:tcMar>
              <w:top w:w="0" w:type="dxa"/>
              <w:left w:w="118" w:type="dxa"/>
              <w:bottom w:w="10" w:type="dxa"/>
              <w:right w:w="118" w:type="dxa"/>
            </w:tcMar>
          </w:tcPr>
          <w:p>
            <w:pPr>
              <w:widowControl w:val="0"/>
              <w:spacing w:line="240" w:lineRule="auto"/>
              <w:ind w:firstLine="630"/>
              <w:jc w:val="center"/>
            </w:pPr>
            <w:r>
              <w:t>平均寿命</w:t>
            </w:r>
          </w:p>
        </w:tc>
        <w:tc>
          <w:tcPr>
            <w:tcW w:w="1879" w:type="dxa"/>
            <w:tcBorders>
              <w:bottom w:val="single" w:color="000000" w:sz="8" w:space="0"/>
              <w:right w:val="single" w:color="000000" w:sz="8" w:space="0"/>
            </w:tcBorders>
            <w:tcMar>
              <w:top w:w="0" w:type="dxa"/>
              <w:left w:w="108" w:type="dxa"/>
              <w:bottom w:w="10" w:type="dxa"/>
              <w:right w:w="118" w:type="dxa"/>
            </w:tcMar>
          </w:tcPr>
          <w:p>
            <w:pPr>
              <w:widowControl w:val="0"/>
              <w:spacing w:line="240" w:lineRule="auto"/>
              <w:ind w:firstLine="630"/>
            </w:pPr>
            <w:r>
              <w:t xml:space="preserve">1000小时 </w:t>
            </w:r>
          </w:p>
        </w:tc>
        <w:tc>
          <w:tcPr>
            <w:tcW w:w="1879" w:type="dxa"/>
            <w:tcBorders>
              <w:bottom w:val="single" w:color="000000" w:sz="8" w:space="0"/>
              <w:right w:val="single" w:color="000000" w:sz="8" w:space="0"/>
            </w:tcBorders>
            <w:tcMar>
              <w:top w:w="0" w:type="dxa"/>
              <w:left w:w="118" w:type="dxa"/>
              <w:bottom w:w="10" w:type="dxa"/>
              <w:right w:w="118" w:type="dxa"/>
            </w:tcMar>
          </w:tcPr>
          <w:p>
            <w:pPr>
              <w:widowControl w:val="0"/>
              <w:spacing w:line="240" w:lineRule="auto"/>
              <w:ind w:firstLine="630"/>
            </w:pPr>
            <w:r>
              <w:t xml:space="preserve">6000小时 </w:t>
            </w:r>
          </w:p>
        </w:tc>
        <w:tc>
          <w:tcPr>
            <w:tcW w:w="1881" w:type="dxa"/>
            <w:tcBorders>
              <w:bottom w:val="single" w:color="000000" w:sz="8" w:space="0"/>
              <w:right w:val="single" w:color="000000" w:sz="8" w:space="0"/>
            </w:tcBorders>
            <w:tcMar>
              <w:top w:w="0" w:type="dxa"/>
              <w:left w:w="118" w:type="dxa"/>
              <w:bottom w:w="10" w:type="dxa"/>
              <w:right w:w="118" w:type="dxa"/>
            </w:tcMar>
          </w:tcPr>
          <w:p>
            <w:pPr>
              <w:widowControl w:val="0"/>
              <w:spacing w:line="240" w:lineRule="auto"/>
              <w:ind w:firstLine="630"/>
            </w:pPr>
            <w:r>
              <w:t xml:space="preserve">50000小时 </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c>
          <w:tcPr>
            <w:tcW w:w="2089" w:type="dxa"/>
            <w:tcBorders>
              <w:left w:val="single" w:color="000000" w:sz="8" w:space="0"/>
              <w:bottom w:val="single" w:color="000000" w:sz="8" w:space="0"/>
              <w:right w:val="single" w:color="000000" w:sz="8" w:space="0"/>
            </w:tcBorders>
            <w:tcMar>
              <w:top w:w="0" w:type="dxa"/>
              <w:left w:w="118" w:type="dxa"/>
              <w:bottom w:w="10" w:type="dxa"/>
              <w:right w:w="118" w:type="dxa"/>
            </w:tcMar>
          </w:tcPr>
          <w:p>
            <w:pPr>
              <w:widowControl w:val="0"/>
              <w:spacing w:line="240" w:lineRule="auto"/>
              <w:ind w:firstLine="630"/>
              <w:jc w:val="center"/>
            </w:pPr>
            <w:r>
              <w:t>5万小时费用</w:t>
            </w:r>
          </w:p>
        </w:tc>
        <w:tc>
          <w:tcPr>
            <w:tcW w:w="1879" w:type="dxa"/>
            <w:tcBorders>
              <w:bottom w:val="single" w:color="000000" w:sz="8" w:space="0"/>
              <w:right w:val="single" w:color="000000" w:sz="8" w:space="0"/>
            </w:tcBorders>
            <w:tcMar>
              <w:top w:w="0" w:type="dxa"/>
              <w:left w:w="108" w:type="dxa"/>
              <w:bottom w:w="10" w:type="dxa"/>
              <w:right w:w="118" w:type="dxa"/>
            </w:tcMar>
          </w:tcPr>
          <w:p>
            <w:pPr>
              <w:widowControl w:val="0"/>
              <w:spacing w:line="240" w:lineRule="auto"/>
              <w:ind w:firstLine="630"/>
            </w:pPr>
            <w:r>
              <w:t xml:space="preserve">2250元 </w:t>
            </w:r>
          </w:p>
        </w:tc>
        <w:tc>
          <w:tcPr>
            <w:tcW w:w="1879" w:type="dxa"/>
            <w:tcBorders>
              <w:bottom w:val="single" w:color="000000" w:sz="8" w:space="0"/>
              <w:right w:val="single" w:color="000000" w:sz="8" w:space="0"/>
            </w:tcBorders>
            <w:tcMar>
              <w:top w:w="0" w:type="dxa"/>
              <w:left w:w="118" w:type="dxa"/>
              <w:bottom w:w="10" w:type="dxa"/>
              <w:right w:w="118" w:type="dxa"/>
            </w:tcMar>
          </w:tcPr>
          <w:p>
            <w:pPr>
              <w:widowControl w:val="0"/>
              <w:spacing w:line="240" w:lineRule="auto"/>
              <w:ind w:firstLine="630"/>
            </w:pPr>
            <w:r>
              <w:t xml:space="preserve">1107元 </w:t>
            </w:r>
          </w:p>
        </w:tc>
        <w:tc>
          <w:tcPr>
            <w:tcW w:w="1881" w:type="dxa"/>
            <w:tcBorders>
              <w:bottom w:val="single" w:color="000000" w:sz="8" w:space="0"/>
              <w:right w:val="single" w:color="000000" w:sz="8" w:space="0"/>
            </w:tcBorders>
            <w:tcMar>
              <w:top w:w="0" w:type="dxa"/>
              <w:left w:w="118" w:type="dxa"/>
              <w:bottom w:w="10" w:type="dxa"/>
              <w:right w:w="118" w:type="dxa"/>
            </w:tcMar>
          </w:tcPr>
          <w:p>
            <w:pPr>
              <w:widowControl w:val="0"/>
              <w:spacing w:line="240" w:lineRule="auto"/>
              <w:ind w:firstLine="630"/>
            </w:pPr>
            <w:r>
              <w:t xml:space="preserve">171.1元 </w:t>
            </w:r>
          </w:p>
        </w:tc>
      </w:tr>
    </w:tbl>
    <w:p>
      <w:pPr>
        <w:widowControl w:val="0"/>
        <w:spacing w:line="240" w:lineRule="auto"/>
        <w:ind w:firstLine="632"/>
        <w:rPr>
          <w:b/>
          <w:bCs/>
        </w:rPr>
      </w:pPr>
      <w:r>
        <w:rPr>
          <w:b/>
          <w:bCs/>
        </w:rPr>
        <w:t>（1）依据图表,你认为LED灯为什么比白炽灯和节能灯的价格高？</w:t>
      </w:r>
      <w:r>
        <w:rPr>
          <w:rFonts w:hint="eastAsia"/>
          <w:b/>
          <w:bCs/>
        </w:rPr>
        <w:t>（3分）</w:t>
      </w:r>
    </w:p>
    <w:p>
      <w:pPr>
        <w:widowControl w:val="0"/>
        <w:spacing w:line="240" w:lineRule="auto"/>
        <w:ind w:firstLine="632"/>
        <w:rPr>
          <w:b/>
          <w:bCs/>
        </w:rPr>
      </w:pPr>
      <w:r>
        <w:rPr>
          <w:b/>
          <w:bCs/>
        </w:rPr>
        <w:t>（2）运用 “生活与消费”的有关知识，说明人们相信LED灯的前景会一片光明的原因。</w:t>
      </w:r>
      <w:r>
        <w:rPr>
          <w:rFonts w:hint="eastAsia"/>
          <w:b/>
          <w:bCs/>
        </w:rPr>
        <w:t>（9分）</w:t>
      </w:r>
    </w:p>
    <w:p>
      <w:pPr>
        <w:widowControl w:val="0"/>
        <w:spacing w:line="240" w:lineRule="auto"/>
        <w:ind w:firstLine="632"/>
        <w:rPr>
          <w:b/>
          <w:bCs/>
        </w:rPr>
      </w:pPr>
    </w:p>
    <w:p>
      <w:pPr>
        <w:widowControl w:val="0"/>
        <w:spacing w:line="240" w:lineRule="auto"/>
        <w:ind w:firstLine="632"/>
        <w:rPr>
          <w:b/>
          <w:bCs/>
        </w:rPr>
      </w:pPr>
    </w:p>
    <w:p>
      <w:pPr>
        <w:widowControl w:val="0"/>
        <w:spacing w:line="240" w:lineRule="auto"/>
        <w:ind w:firstLine="630"/>
      </w:pPr>
      <w:r>
        <w:rPr>
          <w:rFonts w:hint="eastAsia"/>
        </w:rPr>
        <w:t>27.阅读材料,完成下列要求。</w:t>
      </w:r>
    </w:p>
    <w:p>
      <w:pPr>
        <w:widowControl w:val="0"/>
        <w:spacing w:line="240" w:lineRule="auto"/>
        <w:ind w:firstLine="630"/>
      </w:pPr>
      <w:r>
        <w:rPr>
          <w:rFonts w:hint="eastAsia"/>
        </w:rPr>
        <w:t xml:space="preserve">  材料   目前全国实施阶梯电价方案。阶梯电价共分三档,第一档为基础电量,价格不变,第二档每度涨5分,第三档每度涨3毛。其具体内容包括:第一阶梯为基数电量,此阶梯内电量较少,电价较低;第二阶梯电量较多,电价较高一些;第三阶梯电量更多,电价更高。这不仅让市民更加合理用电,更提升了对节能家电的关注度,刺激了销量,同时也加速了市民家里“电老虎”的淘汰,节能型产品将再次掀起一波销售高潮。</w:t>
      </w:r>
    </w:p>
    <w:p>
      <w:pPr>
        <w:widowControl w:val="0"/>
        <w:spacing w:line="240" w:lineRule="auto"/>
        <w:ind w:firstLine="632"/>
        <w:rPr>
          <w:b/>
          <w:bCs/>
        </w:rPr>
      </w:pPr>
      <w:r>
        <w:rPr>
          <w:rFonts w:hint="eastAsia"/>
          <w:b/>
          <w:bCs/>
        </w:rPr>
        <w:t>结合材料,分析实行阶梯电价可能对居民生活、生产的影响。（10分）</w:t>
      </w:r>
    </w:p>
    <w:p>
      <w:pPr>
        <w:widowControl w:val="0"/>
        <w:spacing w:line="240" w:lineRule="auto"/>
        <w:ind w:firstLine="632"/>
        <w:rPr>
          <w:b/>
          <w:bCs/>
        </w:rPr>
      </w:pPr>
    </w:p>
    <w:p>
      <w:pPr>
        <w:widowControl w:val="0"/>
        <w:spacing w:line="240" w:lineRule="auto"/>
        <w:ind w:firstLine="632"/>
        <w:rPr>
          <w:b/>
          <w:bCs/>
        </w:rPr>
      </w:pPr>
    </w:p>
    <w:p>
      <w:pPr>
        <w:widowControl w:val="0"/>
        <w:spacing w:line="240" w:lineRule="auto"/>
        <w:ind w:firstLine="632"/>
        <w:rPr>
          <w:b/>
          <w:bCs/>
        </w:rPr>
      </w:pPr>
    </w:p>
    <w:p>
      <w:pPr>
        <w:widowControl w:val="0"/>
        <w:spacing w:line="240" w:lineRule="auto"/>
        <w:ind w:firstLine="630"/>
      </w:pPr>
      <w:r>
        <w:t>2</w:t>
      </w:r>
      <w:r>
        <w:rPr>
          <w:rFonts w:hint="eastAsia"/>
        </w:rPr>
        <w:t>8</w:t>
      </w:r>
      <w:r>
        <w:t>．当前，消费对中国经济增长的贡献率已经超过6成，消费已经成为我国经济增长的第一拉动力。</w:t>
      </w:r>
    </w:p>
    <w:p>
      <w:pPr>
        <w:widowControl w:val="0"/>
        <w:spacing w:line="240" w:lineRule="auto"/>
        <w:ind w:firstLine="630"/>
      </w:pPr>
      <w:r>
        <w:t>我国经济稳中有进，质量进一步改善，为消费提供了坚实的基础和良好的条件；企业以提品质、增体验、融智能、便消费为方向，加快改革和创新，为消费者提供了多样性、多层次、多方面的需求；中央的保民生、精准扶贫、完善社会保障体系等政策，解决了消费者的后顾之忧，增强了老百姓的消费信心，让他们能够更大胆的花钱，更聪明的花钱。</w:t>
      </w:r>
    </w:p>
    <w:p>
      <w:pPr>
        <w:widowControl w:val="0"/>
        <w:spacing w:line="240" w:lineRule="auto"/>
        <w:ind w:firstLine="422" w:firstLineChars="200"/>
        <w:rPr>
          <w:b/>
          <w:bCs/>
        </w:rPr>
      </w:pPr>
      <w:r>
        <w:rPr>
          <w:b/>
          <w:bCs/>
        </w:rPr>
        <w:t>结合材料，运用有关消费的知识，分析我国消费不断增长的原因。</w:t>
      </w:r>
      <w:r>
        <w:rPr>
          <w:rFonts w:hint="eastAsia"/>
          <w:b/>
          <w:bCs/>
        </w:rPr>
        <w:t>（12分）</w:t>
      </w:r>
    </w:p>
    <w:p>
      <w:pPr>
        <w:widowControl w:val="0"/>
        <w:spacing w:line="240" w:lineRule="auto"/>
        <w:ind w:firstLine="630"/>
      </w:pPr>
      <w:r>
        <w:rPr>
          <w:rFonts w:hint="eastAsia"/>
        </w:rPr>
        <w:t>29</w:t>
      </w:r>
      <w:r>
        <w:t>．阅读材料，完成下列要求。</w:t>
      </w:r>
    </w:p>
    <w:p>
      <w:pPr>
        <w:widowControl w:val="0"/>
        <w:spacing w:line="240" w:lineRule="auto"/>
        <w:ind w:firstLine="630"/>
      </w:pPr>
      <w:r>
        <w:t>2005年前后，我国农村居民思格尔系数高达46%左右，处于联合国划分的40%-50%的小康标准范围内，全国农村贫因人口28662万人，占农村人口的比重高达30.2%。2017年全国农村居民恩格尔系数为31.2%，即将进入20%-30%的富足标准。2017年全国农村贫困人口仅剩下3046万人，仅占农村人口的3.16%。尽管如此，2017年我国城乡居民收入倍差仍高达2.71，城乡居民消费支出倍差也高达2.23。我国农村生产力发展水平不高，基础设施滞后，公共服务水平不高，仍存在大量阻碍农村发展的体制机制障碍，是我国农村发展不充分的突出表现。如何突破这些难题，全面推动乡村振兴，关系到全面建成小康社会和中华民族的伟大复兴。</w:t>
      </w:r>
    </w:p>
    <w:p>
      <w:pPr>
        <w:widowControl w:val="0"/>
        <w:spacing w:line="240" w:lineRule="auto"/>
        <w:ind w:firstLine="632"/>
        <w:rPr>
          <w:b/>
          <w:bCs/>
        </w:rPr>
      </w:pPr>
      <w:r>
        <w:rPr>
          <w:b/>
          <w:bCs/>
        </w:rPr>
        <w:t>结合材料所列有关数据，说明近年来我国农村发展现状；并结合材料和所学经济知识，为全面推进乡村振兴提出合理建议。</w:t>
      </w:r>
      <w:r>
        <w:rPr>
          <w:rFonts w:hint="eastAsia"/>
          <w:b/>
          <w:bCs/>
        </w:rPr>
        <w:t>（16分）</w:t>
      </w: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rPr>
          <w:rFonts w:hint="eastAsia" w:eastAsia="宋体"/>
          <w:lang w:eastAsia="zh-CN"/>
        </w:rPr>
      </w:pPr>
      <w:bookmarkStart w:id="0" w:name="_GoBack"/>
      <w:r>
        <w:rPr>
          <w:rFonts w:hint="eastAsia" w:eastAsia="宋体"/>
          <w:lang w:eastAsia="zh-CN"/>
        </w:rPr>
        <w:drawing>
          <wp:inline distT="0" distB="0" distL="114300" distR="114300">
            <wp:extent cx="5163185" cy="7106920"/>
            <wp:effectExtent l="0" t="0" r="18415" b="17780"/>
            <wp:docPr id="1" name="图片 1" descr="答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答1"/>
                    <pic:cNvPicPr>
                      <a:picLocks noChangeAspect="1"/>
                    </pic:cNvPicPr>
                  </pic:nvPicPr>
                  <pic:blipFill>
                    <a:blip r:embed="rId18"/>
                    <a:stretch>
                      <a:fillRect/>
                    </a:stretch>
                  </pic:blipFill>
                  <pic:spPr>
                    <a:xfrm>
                      <a:off x="0" y="0"/>
                      <a:ext cx="5163185" cy="7106920"/>
                    </a:xfrm>
                    <a:prstGeom prst="rect">
                      <a:avLst/>
                    </a:prstGeom>
                  </pic:spPr>
                </pic:pic>
              </a:graphicData>
            </a:graphic>
          </wp:inline>
        </w:drawing>
      </w:r>
      <w:bookmarkEnd w:id="0"/>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p>
      <w:pPr>
        <w:widowControl w:val="0"/>
        <w:spacing w:line="240" w:lineRule="auto"/>
        <w:ind w:firstLine="630"/>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540"/>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weight="0.5pt" joinstyle="miter"/>
          <v:imagedata o:title=""/>
          <o:lock v:ext="edit"/>
          <v:textbox inset="0mm,0mm,0mm,0mm" style="mso-fit-shape-to-text:t;">
            <w:txbxContent>
              <w:p>
                <w:pPr>
                  <w:pStyle w:val="3"/>
                  <w:ind w:firstLine="54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5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54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5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5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5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B937689"/>
    <w:rsid w:val="1CB40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12" w:lineRule="auto"/>
      <w:ind w:firstLine="300" w:firstLineChars="300"/>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uiPriority w:val="0"/>
    <w:pPr>
      <w:spacing w:line="240" w:lineRule="auto"/>
    </w:pPr>
    <w:rPr>
      <w:sz w:val="18"/>
      <w:szCs w:val="18"/>
    </w:rPr>
  </w:style>
  <w:style w:type="paragraph" w:styleId="3">
    <w:name w:val="footer"/>
    <w:basedOn w:val="1"/>
    <w:unhideWhenUsed/>
    <w:qFormat/>
    <w:uiPriority w:val="99"/>
    <w:pPr>
      <w:tabs>
        <w:tab w:val="center" w:pos="4153"/>
        <w:tab w:val="right" w:pos="8306"/>
      </w:tabs>
      <w:snapToGrid w:val="0"/>
    </w:pPr>
    <w:rPr>
      <w:sz w:val="18"/>
      <w:szCs w:val="18"/>
    </w:rPr>
  </w:style>
  <w:style w:type="paragraph" w:styleId="4">
    <w:name w:val="header"/>
    <w:basedOn w:val="1"/>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
    <w:name w:val="MsoNormalTable"/>
    <w:basedOn w:val="6"/>
    <w:qFormat/>
    <w:uiPriority w:val="0"/>
    <w:tblPr>
      <w:tblLayout w:type="fixed"/>
      <w:tblCellMar>
        <w:top w:w="0" w:type="dxa"/>
        <w:left w:w="108" w:type="dxa"/>
        <w:bottom w:w="0" w:type="dxa"/>
        <w:right w:w="108" w:type="dxa"/>
      </w:tblCellMar>
    </w:tblPr>
  </w:style>
  <w:style w:type="paragraph" w:customStyle="1" w:styleId="9">
    <w:name w:val="Normal_1_1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
    <w:name w:val="Normal_1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11">
    <w:name w:val="批注框文本 Char"/>
    <w:basedOn w:val="5"/>
    <w:link w:val="2"/>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8.jpe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hyperlink" Target="http://z3.2003y.net/117787/uploadpic/2018081607410483628.jpg" TargetMode="Externa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8</Pages>
  <Words>1033</Words>
  <Characters>5889</Characters>
  <Lines>49</Lines>
  <Paragraphs>13</Paragraphs>
  <TotalTime>6</TotalTime>
  <ScaleCrop>false</ScaleCrop>
  <LinksUpToDate>false</LinksUpToDate>
  <CharactersWithSpaces>6909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2018-08-30T09:24:00Z</dcterms:created>
  <dc:creator>lenovo</dc:creator>
  <cp:lastModifiedBy>Administrator</cp:lastModifiedBy>
  <dcterms:modified xsi:type="dcterms:W3CDTF">2019-08-19T05:17:10Z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