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240" w:lineRule="auto"/>
        <w:jc w:val="center"/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39pt;margin-top:964pt;mso-position-horizontal-relative:page;mso-position-vertical-relative:top-margin-area;position:absolute;width:33pt;z-index:251658240">
            <v:imagedata r:id="rId5" o:title=""/>
          </v:shape>
        </w:pic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  <w:t>平川中恒学校2018-2019学年（Ⅱ）高一第三次月考</w:t>
      </w:r>
    </w:p>
    <w:p>
      <w:pPr>
        <w:spacing w:line="240" w:lineRule="auto"/>
        <w:jc w:val="center"/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  <w:t>政治试题参考答案</w:t>
      </w:r>
    </w:p>
    <w:p>
      <w:pPr>
        <w:bidi w:val="0"/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lang w:eastAsia="zh-CN"/>
        </w:rPr>
        <w:t>一：选择题（每题只有一个正确选项，每题</w:t>
      </w:r>
      <w:r>
        <w:rPr>
          <w:rFonts w:hint="eastAsia"/>
          <w:b/>
          <w:bCs/>
          <w:lang w:val="en-US" w:eastAsia="zh-CN"/>
        </w:rPr>
        <w:t>2分，共60分</w:t>
      </w:r>
      <w:r>
        <w:rPr>
          <w:rFonts w:hint="eastAsia"/>
          <w:b/>
          <w:bCs/>
          <w:lang w:eastAsia="zh-CN"/>
        </w:rPr>
        <w:t>）</w:t>
      </w:r>
    </w:p>
    <w:p>
      <w:pPr>
        <w:numPr>
          <w:ilvl w:val="0"/>
          <w:numId w:val="1"/>
        </w:numPr>
        <w:spacing w:line="240" w:lineRule="auto"/>
        <w:jc w:val="left"/>
        <w:rPr>
          <w:rFonts w:asciiTheme="majorEastAsia" w:eastAsiaTheme="majorEastAsia" w:hAnsiTheme="majorEastAsia" w:cstheme="majorEastAsia" w:hint="default"/>
          <w:b/>
          <w:bCs/>
          <w:sz w:val="24"/>
          <w:szCs w:val="2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  <w:t xml:space="preserve">--5：DCDAD    6—10：DDADA    11—15：ADAAC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val="en-US" w:eastAsia="zh-CN"/>
        </w:rPr>
        <w:t>16—20:AADBB   21--25:ADCDB     26--30:BABCB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textAlignment w:val="center"/>
        <w:rPr>
          <w:rFonts w:hint="eastAsia"/>
          <w:sz w:val="21"/>
          <w:szCs w:val="21"/>
        </w:rPr>
      </w:pPr>
      <w:r>
        <w:rPr>
          <w:rFonts w:hint="eastAsia"/>
          <w:b/>
          <w:bCs/>
          <w:lang w:eastAsia="zh-CN"/>
        </w:rPr>
        <w:t>二：非选择题（共</w:t>
      </w:r>
      <w:r>
        <w:rPr>
          <w:rFonts w:hint="eastAsia"/>
          <w:b/>
          <w:bCs/>
          <w:lang w:val="en-US" w:eastAsia="zh-CN"/>
        </w:rPr>
        <w:t>40分</w:t>
      </w:r>
      <w:r>
        <w:rPr>
          <w:rFonts w:hint="eastAsia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ind w:left="105" w:firstLine="0" w:leftChars="0" w:firstLineChars="0"/>
        <w:textAlignment w:val="center"/>
        <w:rPr>
          <w:rFonts w:hint="eastAsia"/>
        </w:rPr>
      </w:pPr>
      <w:r>
        <w:rPr>
          <w:rFonts w:hint="eastAsia"/>
        </w:rPr>
        <w:t>①公民(村民)是农村的主人，应以主人翁的态度，依法行使各项民主权利，切实对村民委员会的工作和村干部的行为进行民主监督，推进村民自治逐步走上制度化、规范化的轨道。②村民应自觉履行遵守宪法、法律和村规民约等义务，坚持权利和义务相统一的原则。坚持个人利益和集体利益相结合的原则。③村民应该通过村民会议及其他协商共治平台，积极参与本村公共事务和公益事业的决策，为实现乡村治理有效献计献策。④应积极参与基层民主管理活动，通过“村事大家管”制度，依法直接行使民主权利，群策群力，共建共治，投身村民自治的实践。 （每点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分，共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 xml:space="preserve">分）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ind w:left="105" w:leftChars="0"/>
        <w:textAlignment w:val="center"/>
        <w:rPr>
          <w:rFonts w:hint="eastAsia"/>
        </w:rPr>
      </w:pPr>
      <w:r>
        <w:rPr>
          <w:rFonts w:hint="eastAsia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textAlignment w:val="center"/>
        <w:rPr>
          <w:rFonts w:hint="eastAsia"/>
        </w:rPr>
      </w:pPr>
      <w:r>
        <w:rPr>
          <w:rFonts w:hint="eastAsia"/>
          <w:lang w:val="en-US" w:eastAsia="zh-CN"/>
        </w:rPr>
        <w:t>32</w:t>
      </w:r>
      <w:r>
        <w:rPr>
          <w:rFonts w:hint="eastAsia"/>
        </w:rPr>
        <w:t xml:space="preserve">. ①中国共产党是执政党，是中国特色社会主义事业的领导核心，为此A省委提出“文化兴省”的发展战略。②中国共产党必须坚持依法治国、依法执政，提交省人大审议通过是依法执政的要求。③我国实行中国共产党领导的多党合作和政治协商制度，要求听取民主党派建议。④中国共产党坚持人民主体地位，坚持立党为公、执政为民，践行全心全意为人民服务的宗旨，把人民对美好生活的向往作为奋斗目标，听取群众建议是对人民主体地位的尊重，有利于发挥人民群众的首创精神。⑤中国共产党必须坚持习近平新时代中国特色社会主义思想，“文化兴省”有利于转方式调结构，促进经济持续健康发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textAlignment w:val="center"/>
        <w:rPr>
          <w:rFonts w:hint="eastAsia"/>
        </w:rPr>
      </w:pPr>
      <w:r>
        <w:rPr>
          <w:rFonts w:hint="eastAsia"/>
        </w:rPr>
        <w:t>（每点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分，共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textAlignment w:val="center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ind w:left="105" w:leftChars="0"/>
        <w:textAlignment w:val="center"/>
        <w:rPr>
          <w:rFonts w:hint="eastAsia"/>
        </w:rPr>
      </w:pPr>
      <w:r>
        <w:rPr>
          <w:rFonts w:hint="eastAsia"/>
          <w:lang w:val="en-US" w:eastAsia="zh-CN"/>
        </w:rPr>
        <w:t>33.</w:t>
      </w:r>
      <w:r>
        <w:rPr>
          <w:rFonts w:hint="eastAsia"/>
        </w:rPr>
        <w:t xml:space="preserve">①人民政协是社会主义民主的重要形式，是实行协商民主的重要渠道和专门协商机构。②拓宽了建言献策的渠道，密切了与人民群众的联系，有利于协商民主的发展。③创新了政协委员的履职方式，更好地发挥政治协商、民主监督和参政议政的职能。（每点2分，共6分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0" w:lineRule="atLeast"/>
        <w:ind w:left="105" w:leftChars="0"/>
        <w:textAlignment w:val="center"/>
        <w:rPr>
          <w:rFonts w:hint="eastAsia"/>
        </w:rPr>
      </w:pPr>
    </w:p>
    <w:p>
      <w:pPr>
        <w:rPr>
          <w:rFonts w:eastAsia="宋体" w:hint="eastAsia"/>
          <w:lang w:eastAsia="zh-CN"/>
        </w:rPr>
      </w:pPr>
      <w:r>
        <w:rPr>
          <w:rFonts w:hint="eastAsia"/>
          <w:lang w:val="en-US" w:eastAsia="zh-CN"/>
        </w:rPr>
        <w:t>34</w:t>
      </w:r>
      <w:r>
        <w:rPr>
          <w:rFonts w:hint="eastAsia"/>
        </w:rPr>
        <w:t>.①国家间的共同利益是国家合作的基础。中俄双方推进贸易合作符合双方共同的利益。②和平与发展是当今时代的主题。中俄双方加强合作顺应了时代发展的潮流。③中俄双方推进贸易合作，有利于增强两国的综合国力和国际竞争力，也有利于推进世界多极化的发展。④中俄双方加强合作，有利于促进双方共同发展，符合我国独立自主的和平外交政策的宗旨和基本目标。 （每点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分，共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分</w:t>
      </w:r>
      <w:r>
        <w:rPr>
          <w:rFonts w:hint="eastAsia"/>
          <w:lang w:eastAsia="zh-CN"/>
        </w:rPr>
        <w:t>）</w:t>
      </w:r>
    </w:p>
    <w:sectPr>
      <w:pgSz w:w="14740" w:h="20863"/>
      <w:pgMar w:top="850" w:right="850" w:bottom="850" w:left="850" w:header="851" w:footer="992" w:gutter="0"/>
      <w:cols w:num="2" w:space="427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D2189FD"/>
    <w:multiLevelType w:val="singleLevel"/>
    <w:tmpl w:val="8D2189FD"/>
    <w:lvl w:ilvl="0">
      <w:start w:val="31"/>
      <w:numFmt w:val="decimal"/>
      <w:suff w:val="space"/>
      <w:lvlText w:val="%1."/>
      <w:lvlJc w:val="left"/>
      <w:pPr>
        <w:ind w:left="105" w:firstLine="0" w:leftChars="0" w:firstLineChars="0"/>
      </w:pPr>
    </w:lvl>
  </w:abstractNum>
  <w:abstractNum w:abstractNumId="1">
    <w:nsid w:val="F5BF8B44"/>
    <w:multiLevelType w:val="singleLevel"/>
    <w:tmpl w:val="F5BF8B44"/>
    <w:lvl w:ilvl="0">
      <w:start w:val="1"/>
      <w:numFmt w:val="decimal"/>
      <w:suff w:val="nothing"/>
      <w:lvlText w:val="%1-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20" w:line="288" w:lineRule="auto"/>
      <w:textAlignment w:val="center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2019-05-31T14:19:17Z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