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BB0A7D" w:rsidRPr="00D97A03" w:rsidP="00D97A03">
      <w:pPr>
        <w:tabs>
          <w:tab w:val="left" w:pos="1455"/>
          <w:tab w:val="center" w:pos="4873"/>
        </w:tabs>
        <w:jc w:val="center"/>
        <w:rPr>
          <w:rFonts w:ascii="黑体" w:eastAsia="黑体" w:hAnsi="黑体" w:hint="eastAsia"/>
          <w:b/>
          <w:sz w:val="28"/>
          <w:szCs w:val="28"/>
        </w:rPr>
      </w:pPr>
      <w:r>
        <w:rPr>
          <w:rFonts w:ascii="黑体" w:eastAsia="黑体" w:hAnsi="黑体" w:hint="eastAsia"/>
          <w:b/>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6pt;margin-left:825pt;margin-top:966pt;mso-position-horizontal-relative:page;mso-position-vertical-relative:top-margin-area;position:absolute;width:22pt;z-index:251658240">
            <v:imagedata r:id="rId4" o:title=""/>
          </v:shape>
        </w:pict>
      </w:r>
      <w:r w:rsidRPr="00D97A03">
        <w:rPr>
          <w:rFonts w:ascii="黑体" w:eastAsia="黑体" w:hAnsi="黑体" w:hint="eastAsia"/>
          <w:b/>
          <w:sz w:val="28"/>
          <w:szCs w:val="28"/>
        </w:rPr>
        <w:t>2018学年第</w:t>
      </w:r>
      <w:r w:rsidRPr="00D97A03" w:rsidR="00D97A03">
        <w:rPr>
          <w:rFonts w:ascii="黑体" w:eastAsia="黑体" w:hAnsi="黑体" w:hint="eastAsia"/>
          <w:b/>
          <w:sz w:val="28"/>
          <w:szCs w:val="28"/>
        </w:rPr>
        <w:t>二</w:t>
      </w:r>
      <w:r w:rsidRPr="00D97A03">
        <w:rPr>
          <w:rFonts w:ascii="黑体" w:eastAsia="黑体" w:hAnsi="黑体" w:hint="eastAsia"/>
          <w:b/>
          <w:sz w:val="28"/>
          <w:szCs w:val="28"/>
        </w:rPr>
        <w:t>学期</w:t>
      </w:r>
      <w:r w:rsidRPr="00D97A03" w:rsidR="00D97A03">
        <w:rPr>
          <w:rFonts w:ascii="黑体" w:eastAsia="黑体" w:hAnsi="黑体" w:hint="eastAsia"/>
          <w:b/>
          <w:sz w:val="28"/>
          <w:szCs w:val="28"/>
        </w:rPr>
        <w:t>浙江省舟山中学开学考</w:t>
      </w:r>
    </w:p>
    <w:p w:rsidR="00BB0A7D" w:rsidRPr="00D97A03" w:rsidP="00D97A03">
      <w:pPr>
        <w:jc w:val="center"/>
        <w:rPr>
          <w:rFonts w:ascii="黑体" w:eastAsia="黑体" w:hAnsi="黑体" w:hint="eastAsia"/>
          <w:b/>
          <w:sz w:val="28"/>
          <w:szCs w:val="28"/>
        </w:rPr>
      </w:pPr>
      <w:r w:rsidRPr="00D97A03">
        <w:rPr>
          <w:rFonts w:ascii="黑体" w:eastAsia="黑体" w:hAnsi="黑体" w:hint="eastAsia"/>
          <w:b/>
          <w:sz w:val="28"/>
          <w:szCs w:val="28"/>
        </w:rPr>
        <w:t>高一年级政治学科参考答案</w:t>
      </w:r>
    </w:p>
    <w:p w:rsidR="00BB0A7D" w:rsidRPr="00D97A03" w:rsidP="00D97A03">
      <w:pPr>
        <w:numPr>
          <w:ilvl w:val="0"/>
          <w:numId w:val="1"/>
        </w:numPr>
        <w:jc w:val="left"/>
        <w:rPr>
          <w:rFonts w:asciiTheme="minorEastAsia" w:eastAsiaTheme="minorEastAsia" w:hAnsiTheme="minorEastAsia" w:cs="宋体" w:hint="eastAsia"/>
          <w:b/>
          <w:szCs w:val="21"/>
        </w:rPr>
      </w:pPr>
      <w:r w:rsidRPr="00D97A03">
        <w:rPr>
          <w:rFonts w:asciiTheme="minorEastAsia" w:eastAsiaTheme="minorEastAsia" w:hAnsiTheme="minorEastAsia" w:cs="宋体" w:hint="eastAsia"/>
          <w:b/>
          <w:szCs w:val="21"/>
        </w:rPr>
        <w:t>判断题（本大题共10小题，每小题1分，共10分。判断下列说法是否正确，正确的请涂T，错误的请涂F</w:t>
      </w:r>
      <w:r w:rsidRPr="00D97A03">
        <w:rPr>
          <w:rFonts w:asciiTheme="minorEastAsia" w:eastAsiaTheme="minorEastAsia" w:hAnsiTheme="minorEastAsia" w:cs="宋体"/>
          <w:b/>
          <w:szCs w:val="21"/>
        </w:rPr>
        <w:t>）</w:t>
      </w:r>
      <w:r w:rsidRPr="00D97A03">
        <w:rPr>
          <w:rFonts w:asciiTheme="minorEastAsia" w:eastAsiaTheme="minorEastAsia" w:hAnsiTheme="minorEastAsia" w:cs="宋体" w:hint="eastAsia"/>
          <w:b/>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918"/>
        <w:gridCol w:w="918"/>
        <w:gridCol w:w="918"/>
        <w:gridCol w:w="919"/>
        <w:gridCol w:w="919"/>
        <w:gridCol w:w="919"/>
        <w:gridCol w:w="919"/>
        <w:gridCol w:w="919"/>
        <w:gridCol w:w="919"/>
      </w:tblGrid>
      <w:tr w:rsidTr="0082770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4</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5</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6</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7</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8</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9</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10</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T</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T</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F</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T</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F</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T</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F</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F</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F</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T</w:t>
            </w:r>
          </w:p>
        </w:tc>
      </w:tr>
    </w:tbl>
    <w:p w:rsidR="00BB0A7D" w:rsidRPr="00D97A03" w:rsidP="00D97A03">
      <w:pPr>
        <w:numPr>
          <w:ilvl w:val="0"/>
          <w:numId w:val="1"/>
        </w:numPr>
        <w:jc w:val="left"/>
        <w:rPr>
          <w:rFonts w:asciiTheme="minorEastAsia" w:eastAsiaTheme="minorEastAsia" w:hAnsiTheme="minorEastAsia" w:cs="宋体" w:hint="eastAsia"/>
          <w:b/>
          <w:szCs w:val="21"/>
        </w:rPr>
      </w:pPr>
      <w:r w:rsidRPr="00D97A03">
        <w:rPr>
          <w:rFonts w:asciiTheme="minorEastAsia" w:eastAsiaTheme="minorEastAsia" w:hAnsiTheme="minorEastAsia" w:cs="宋体" w:hint="eastAsia"/>
          <w:b/>
          <w:szCs w:val="21"/>
        </w:rPr>
        <w:t>选择题（本小题共30题，每小题2分，共60分。每小题列出的四个备选项中只有一个是符合题目要求的，不选、多选、错选均不给分）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918"/>
        <w:gridCol w:w="918"/>
        <w:gridCol w:w="918"/>
        <w:gridCol w:w="919"/>
        <w:gridCol w:w="919"/>
        <w:gridCol w:w="919"/>
        <w:gridCol w:w="919"/>
        <w:gridCol w:w="919"/>
        <w:gridCol w:w="919"/>
      </w:tblGrid>
      <w:tr w:rsidTr="0082770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11</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12</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13</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14</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15</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16</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17</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18</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19</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20</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B</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B</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21</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22</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23</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24</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25</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26</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27</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28</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29</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30</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B</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B</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B</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D</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B</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31</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32</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33</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34</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35</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36</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37</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38</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39</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40</w:t>
            </w:r>
          </w:p>
        </w:tc>
      </w:tr>
      <w:tr w:rsidTr="00827708">
        <w:tblPrEx>
          <w:tblW w:w="0" w:type="auto"/>
          <w:tblLayout w:type="fixed"/>
          <w:tblLook w:val="0000"/>
        </w:tblPrEx>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A</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D</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A</w:t>
            </w:r>
          </w:p>
        </w:tc>
        <w:tc>
          <w:tcPr>
            <w:tcW w:w="918"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A</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 xml:space="preserve">D </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c>
          <w:tcPr>
            <w:tcW w:w="919" w:type="dxa"/>
            <w:shd w:val="clear" w:color="auto" w:fill="auto"/>
          </w:tcPr>
          <w:p w:rsidR="00BB0A7D" w:rsidRPr="00D97A03" w:rsidP="00D97A03">
            <w:pPr>
              <w:jc w:val="cente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C</w:t>
            </w:r>
          </w:p>
        </w:tc>
      </w:tr>
    </w:tbl>
    <w:p w:rsidR="00BB0A7D" w:rsidRPr="00367D5B" w:rsidP="00D97A03">
      <w:pPr>
        <w:jc w:val="left"/>
        <w:rPr>
          <w:rFonts w:asciiTheme="minorEastAsia" w:eastAsiaTheme="minorEastAsia" w:hAnsiTheme="minorEastAsia" w:cs="宋体" w:hint="eastAsia"/>
          <w:b/>
          <w:color w:val="000000"/>
          <w:szCs w:val="21"/>
        </w:rPr>
      </w:pPr>
      <w:r w:rsidRPr="00367D5B">
        <w:rPr>
          <w:rFonts w:asciiTheme="minorEastAsia" w:eastAsiaTheme="minorEastAsia" w:hAnsiTheme="minorEastAsia" w:cs="宋体" w:hint="eastAsia"/>
          <w:b/>
          <w:color w:val="000000"/>
          <w:szCs w:val="21"/>
        </w:rPr>
        <w:t>三、综合题（共30分）</w:t>
      </w:r>
    </w:p>
    <w:p w:rsidR="00D97A03" w:rsidRPr="002D13C7" w:rsidP="00D97A03">
      <w:pPr>
        <w:rPr>
          <w:rFonts w:asciiTheme="minorEastAsia" w:eastAsiaTheme="minorEastAsia" w:hAnsiTheme="minorEastAsia" w:cs="宋体"/>
          <w:color w:val="000000"/>
          <w:szCs w:val="21"/>
        </w:rPr>
      </w:pPr>
      <w:r>
        <w:rPr>
          <w:rFonts w:asciiTheme="minorEastAsia" w:eastAsiaTheme="minorEastAsia" w:hAnsiTheme="minorEastAsia" w:hint="eastAsia"/>
          <w:color w:val="000000"/>
          <w:szCs w:val="21"/>
        </w:rPr>
        <w:t>41</w:t>
      </w:r>
      <w:r w:rsidRPr="001C497D">
        <w:rPr>
          <w:rFonts w:asciiTheme="minorEastAsia" w:eastAsiaTheme="minorEastAsia" w:hAnsiTheme="minorEastAsia" w:cs="宋体" w:hint="eastAsia"/>
          <w:color w:val="000000"/>
          <w:szCs w:val="21"/>
        </w:rPr>
        <w:t>.（</w:t>
      </w:r>
      <w:r w:rsidRPr="001C497D">
        <w:rPr>
          <w:rFonts w:asciiTheme="minorEastAsia" w:eastAsiaTheme="minorEastAsia" w:hAnsiTheme="minorEastAsia" w:hint="eastAsia"/>
          <w:color w:val="000000"/>
          <w:szCs w:val="21"/>
        </w:rPr>
        <w:t>8</w:t>
      </w:r>
      <w:r w:rsidRPr="001C497D">
        <w:rPr>
          <w:rFonts w:asciiTheme="minorEastAsia" w:eastAsiaTheme="minorEastAsia" w:hAnsiTheme="minorEastAsia" w:cs="宋体" w:hint="eastAsia"/>
          <w:color w:val="000000"/>
          <w:szCs w:val="21"/>
        </w:rPr>
        <w:t>分）（</w:t>
      </w:r>
      <w:r w:rsidRPr="001C497D">
        <w:rPr>
          <w:rFonts w:asciiTheme="minorEastAsia" w:eastAsiaTheme="minorEastAsia" w:hAnsiTheme="minorEastAsia" w:hint="eastAsia"/>
          <w:color w:val="000000"/>
          <w:szCs w:val="21"/>
        </w:rPr>
        <w:t>1</w:t>
      </w:r>
      <w:r w:rsidRPr="001C497D">
        <w:rPr>
          <w:rFonts w:asciiTheme="minorEastAsia" w:eastAsiaTheme="minorEastAsia" w:hAnsiTheme="minorEastAsia" w:cs="宋体" w:hint="eastAsia"/>
          <w:color w:val="000000"/>
          <w:szCs w:val="21"/>
        </w:rPr>
        <w:t>）</w:t>
      </w:r>
      <w:r w:rsidRPr="001C497D">
        <w:rPr>
          <w:rFonts w:asciiTheme="minorEastAsia" w:eastAsiaTheme="minorEastAsia" w:hAnsiTheme="minorEastAsia" w:cs="Calibri" w:hint="eastAsia"/>
          <w:szCs w:val="21"/>
        </w:rPr>
        <w:t xml:space="preserve"> 人们的消费行为受消费心理影响（</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分），考虑成本节约、性价比高的求实心理（</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分）和跟风、随大流的从众心理（</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分）引发租赁消费延伸生活的方方面面，并形成流行趋势（</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w:t>
      </w:r>
    </w:p>
    <w:p w:rsidR="00D97A03" w:rsidRPr="001C497D" w:rsidP="00D97A03">
      <w:pPr>
        <w:rPr>
          <w:rFonts w:asciiTheme="minorEastAsia" w:eastAsiaTheme="minorEastAsia" w:hAnsiTheme="minorEastAsia" w:cs="Calibri"/>
          <w:szCs w:val="21"/>
        </w:rPr>
      </w:pPr>
      <w:r w:rsidRPr="001C497D">
        <w:rPr>
          <w:rFonts w:asciiTheme="minorEastAsia" w:eastAsiaTheme="minorEastAsia" w:hAnsiTheme="minorEastAsia" w:cs="宋体" w:hint="eastAsia"/>
          <w:szCs w:val="21"/>
        </w:rPr>
        <w:t>（</w:t>
      </w:r>
      <w:r w:rsidRPr="001C497D">
        <w:rPr>
          <w:rFonts w:asciiTheme="minorEastAsia" w:eastAsiaTheme="minorEastAsia" w:hAnsiTheme="minorEastAsia"/>
          <w:szCs w:val="21"/>
        </w:rPr>
        <w:t>2</w:t>
      </w:r>
      <w:r w:rsidRPr="001C497D">
        <w:rPr>
          <w:rFonts w:asciiTheme="minorEastAsia" w:eastAsiaTheme="minorEastAsia" w:hAnsiTheme="minorEastAsia" w:cs="宋体" w:hint="eastAsia"/>
          <w:szCs w:val="21"/>
        </w:rPr>
        <w:t>）</w:t>
      </w:r>
      <w:r w:rsidRPr="001C497D">
        <w:rPr>
          <w:rFonts w:asciiTheme="minorEastAsia" w:eastAsiaTheme="minorEastAsia" w:hAnsiTheme="minorEastAsia" w:cs="Calibri" w:hint="eastAsia"/>
          <w:szCs w:val="21"/>
        </w:rPr>
        <w:t>加快建立和完善租赁市场规则，加强</w:t>
      </w:r>
      <w:r>
        <w:rPr>
          <w:rFonts w:asciiTheme="minorEastAsia" w:eastAsiaTheme="minorEastAsia" w:hAnsiTheme="minorEastAsia" w:cs="Calibri" w:hint="eastAsia"/>
          <w:szCs w:val="21"/>
        </w:rPr>
        <w:t>租赁</w:t>
      </w:r>
      <w:r w:rsidRPr="001C497D">
        <w:rPr>
          <w:rFonts w:asciiTheme="minorEastAsia" w:eastAsiaTheme="minorEastAsia" w:hAnsiTheme="minorEastAsia" w:cs="Calibri" w:hint="eastAsia"/>
          <w:szCs w:val="21"/>
        </w:rPr>
        <w:t>市场监管（</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分）；加强以道德为支撑、法律为保障的社会信用制度建设（可用“建立健全社会征信体系”替代），引导租赁经营者和消费者诚实守信（</w:t>
      </w:r>
      <w:r w:rsidRPr="001C497D">
        <w:rPr>
          <w:rFonts w:asciiTheme="minorEastAsia" w:eastAsiaTheme="minorEastAsia" w:hAnsiTheme="minorEastAsia" w:hint="eastAsia"/>
          <w:szCs w:val="21"/>
        </w:rPr>
        <w:t>2</w:t>
      </w:r>
      <w:r w:rsidRPr="001C497D">
        <w:rPr>
          <w:rFonts w:asciiTheme="minorEastAsia" w:eastAsiaTheme="minorEastAsia" w:hAnsiTheme="minorEastAsia" w:cs="Calibri" w:hint="eastAsia"/>
          <w:szCs w:val="21"/>
        </w:rPr>
        <w:t>分）；积极引导租赁活动的参与者尊法、学法、守法、用法（</w:t>
      </w:r>
      <w:r w:rsidRPr="001C497D">
        <w:rPr>
          <w:rFonts w:asciiTheme="minorEastAsia" w:eastAsiaTheme="minorEastAsia" w:hAnsiTheme="minorEastAsia" w:hint="eastAsia"/>
          <w:szCs w:val="21"/>
        </w:rPr>
        <w:t>1</w:t>
      </w:r>
      <w:r w:rsidRPr="001C497D">
        <w:rPr>
          <w:rFonts w:asciiTheme="minorEastAsia" w:eastAsiaTheme="minorEastAsia" w:hAnsiTheme="minorEastAsia" w:cs="Calibri" w:hint="eastAsia"/>
          <w:szCs w:val="21"/>
        </w:rPr>
        <w:t>分）。</w:t>
      </w:r>
    </w:p>
    <w:p w:rsidR="00BB0A7D" w:rsidP="00D97A03">
      <w:pPr>
        <w:jc w:val="left"/>
        <w:rPr>
          <w:rFonts w:asciiTheme="minorEastAsia" w:eastAsiaTheme="minorEastAsia" w:hAnsiTheme="minorEastAsia" w:cs="宋体" w:hint="eastAsia"/>
          <w:szCs w:val="21"/>
        </w:rPr>
      </w:pPr>
    </w:p>
    <w:p w:rsidR="00D97A03" w:rsidRPr="00D05B6B" w:rsidP="00D97A03">
      <w:pPr>
        <w:pStyle w:val="NormalWeb"/>
        <w:spacing w:before="0" w:beforeAutospacing="0" w:after="0" w:afterAutospacing="0"/>
        <w:textAlignment w:val="center"/>
        <w:rPr>
          <w:rFonts w:asciiTheme="minorEastAsia" w:eastAsiaTheme="minorEastAsia" w:hAnsiTheme="minorEastAsia" w:cs="Calibri"/>
          <w:sz w:val="21"/>
          <w:szCs w:val="21"/>
        </w:rPr>
      </w:pPr>
      <w:r w:rsidRPr="001C497D">
        <w:rPr>
          <w:rFonts w:asciiTheme="minorEastAsia" w:eastAsiaTheme="minorEastAsia" w:hAnsiTheme="minorEastAsia" w:hint="eastAsia"/>
          <w:sz w:val="21"/>
          <w:szCs w:val="21"/>
        </w:rPr>
        <w:t>4</w:t>
      </w:r>
      <w:r>
        <w:rPr>
          <w:rFonts w:asciiTheme="minorEastAsia" w:eastAsiaTheme="minorEastAsia" w:hAnsiTheme="minorEastAsia" w:hint="eastAsia"/>
          <w:sz w:val="21"/>
          <w:szCs w:val="21"/>
        </w:rPr>
        <w:t>2</w:t>
      </w:r>
      <w:r w:rsidRPr="001C497D">
        <w:rPr>
          <w:rFonts w:asciiTheme="minorEastAsia" w:eastAsiaTheme="minorEastAsia" w:hAnsiTheme="minorEastAsia" w:cs="Calibri" w:hint="eastAsia"/>
          <w:sz w:val="21"/>
          <w:szCs w:val="21"/>
        </w:rPr>
        <w:t>.（</w:t>
      </w:r>
      <w:r>
        <w:rPr>
          <w:rFonts w:asciiTheme="minorEastAsia" w:eastAsiaTheme="minorEastAsia" w:hAnsiTheme="minorEastAsia" w:hint="eastAsia"/>
          <w:sz w:val="21"/>
          <w:szCs w:val="21"/>
        </w:rPr>
        <w:t>10</w:t>
      </w:r>
      <w:r w:rsidRPr="001C497D">
        <w:rPr>
          <w:rFonts w:asciiTheme="minorEastAsia" w:eastAsiaTheme="minorEastAsia" w:hAnsiTheme="minorEastAsia" w:cs="Calibri" w:hint="eastAsia"/>
          <w:sz w:val="21"/>
          <w:szCs w:val="21"/>
        </w:rPr>
        <w:t>分）（</w:t>
      </w:r>
      <w:r w:rsidRPr="001C497D">
        <w:rPr>
          <w:rFonts w:asciiTheme="minorEastAsia" w:eastAsiaTheme="minorEastAsia" w:hAnsiTheme="minorEastAsia" w:hint="eastAsia"/>
          <w:sz w:val="21"/>
          <w:szCs w:val="21"/>
        </w:rPr>
        <w:t>1</w:t>
      </w:r>
      <w:r w:rsidRPr="001C497D">
        <w:rPr>
          <w:rFonts w:asciiTheme="minorEastAsia" w:eastAsiaTheme="minorEastAsia" w:hAnsiTheme="minorEastAsia" w:cs="Calibri" w:hint="eastAsia"/>
          <w:sz w:val="21"/>
          <w:szCs w:val="21"/>
        </w:rPr>
        <w:t>）</w:t>
      </w:r>
      <w:r>
        <w:rPr>
          <w:rFonts w:asciiTheme="minorEastAsia" w:eastAsiaTheme="minorEastAsia" w:hAnsiTheme="minorEastAsia" w:cs="Calibri" w:hint="eastAsia"/>
          <w:sz w:val="21"/>
          <w:szCs w:val="21"/>
        </w:rPr>
        <w:t>经济发展水平（2分）</w:t>
      </w:r>
    </w:p>
    <w:p w:rsidR="00D97A03" w:rsidP="00D97A03">
      <w:pPr>
        <w:pStyle w:val="NormalWeb"/>
        <w:spacing w:before="0" w:beforeAutospacing="0" w:after="0" w:afterAutospacing="0"/>
        <w:textAlignment w:val="center"/>
        <w:rPr>
          <w:rFonts w:asciiTheme="minorEastAsia" w:eastAsiaTheme="minorEastAsia" w:hAnsiTheme="minorEastAsia" w:cs="Calibri" w:hint="eastAsia"/>
          <w:kern w:val="2"/>
          <w:sz w:val="21"/>
          <w:szCs w:val="21"/>
        </w:rPr>
      </w:pPr>
      <w:r w:rsidRPr="001C497D">
        <w:rPr>
          <w:rFonts w:asciiTheme="minorEastAsia" w:eastAsiaTheme="minorEastAsia" w:hAnsiTheme="minorEastAsia" w:cs="Calibri" w:hint="eastAsia"/>
          <w:kern w:val="2"/>
          <w:sz w:val="21"/>
          <w:szCs w:val="21"/>
        </w:rPr>
        <w:t>（</w:t>
      </w:r>
      <w:r w:rsidRPr="001C497D">
        <w:rPr>
          <w:rFonts w:asciiTheme="minorEastAsia" w:eastAsiaTheme="minorEastAsia" w:hAnsiTheme="minorEastAsia" w:hint="eastAsia"/>
          <w:kern w:val="2"/>
          <w:sz w:val="21"/>
          <w:szCs w:val="21"/>
        </w:rPr>
        <w:t>2</w:t>
      </w:r>
      <w:r w:rsidRPr="001C497D">
        <w:rPr>
          <w:rFonts w:asciiTheme="minorEastAsia" w:eastAsiaTheme="minorEastAsia" w:hAnsiTheme="minorEastAsia" w:cs="Calibri" w:hint="eastAsia"/>
          <w:kern w:val="2"/>
          <w:sz w:val="21"/>
          <w:szCs w:val="21"/>
        </w:rPr>
        <w:t>）中央财政补助增加地方专项扶贫资金和提高城乡居民基本医疗保险财政补助标准（</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分），有利于缩小收入差距和解决人民看病问题（</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分），说明国家财政是促进社会公平、改善人民生活的物质保障。（</w:t>
      </w:r>
      <w:r>
        <w:rPr>
          <w:rFonts w:asciiTheme="minorEastAsia" w:eastAsiaTheme="minorEastAsia" w:hAnsiTheme="minorEastAsia" w:hint="eastAsia"/>
          <w:kern w:val="2"/>
          <w:sz w:val="21"/>
          <w:szCs w:val="21"/>
        </w:rPr>
        <w:t>2</w:t>
      </w:r>
      <w:r w:rsidRPr="001C497D">
        <w:rPr>
          <w:rFonts w:asciiTheme="minorEastAsia" w:eastAsiaTheme="minorEastAsia" w:hAnsiTheme="minorEastAsia" w:cs="Calibri" w:hint="eastAsia"/>
          <w:kern w:val="2"/>
          <w:sz w:val="21"/>
          <w:szCs w:val="21"/>
        </w:rPr>
        <w:t>分）</w:t>
      </w:r>
    </w:p>
    <w:p w:rsidR="00D97A03" w:rsidP="00D97A03">
      <w:pPr>
        <w:pStyle w:val="NormalWeb"/>
        <w:spacing w:before="0" w:beforeAutospacing="0" w:after="0" w:afterAutospacing="0"/>
        <w:textAlignment w:val="center"/>
        <w:rPr>
          <w:rFonts w:asciiTheme="minorEastAsia" w:eastAsiaTheme="minorEastAsia" w:hAnsiTheme="minorEastAsia" w:cs="Calibri" w:hint="eastAsia"/>
          <w:kern w:val="2"/>
          <w:sz w:val="21"/>
          <w:szCs w:val="21"/>
        </w:rPr>
      </w:pPr>
      <w:r w:rsidRPr="001C497D">
        <w:rPr>
          <w:rFonts w:asciiTheme="minorEastAsia" w:eastAsiaTheme="minorEastAsia" w:hAnsiTheme="minorEastAsia" w:cs="Calibri" w:hint="eastAsia"/>
          <w:kern w:val="2"/>
          <w:sz w:val="21"/>
          <w:szCs w:val="21"/>
        </w:rPr>
        <w:t>增加财政用于防范化解重大风险的地方专项债券，说明通过扩张性的财政政策，增加社会总需求，（</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分）进而发挥财政促进国民经济平稳运行的作用。（</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w:t>
      </w:r>
    </w:p>
    <w:p w:rsidR="00D97A03" w:rsidRPr="001C497D" w:rsidP="00D97A03">
      <w:pPr>
        <w:pStyle w:val="NormalWeb"/>
        <w:spacing w:before="0" w:beforeAutospacing="0" w:after="0" w:afterAutospacing="0"/>
        <w:textAlignment w:val="center"/>
        <w:rPr>
          <w:rFonts w:asciiTheme="minorEastAsia" w:eastAsiaTheme="minorEastAsia" w:hAnsiTheme="minorEastAsia" w:cs="Calibri"/>
          <w:kern w:val="2"/>
          <w:sz w:val="21"/>
          <w:szCs w:val="21"/>
        </w:rPr>
      </w:pPr>
      <w:r w:rsidRPr="001C497D">
        <w:rPr>
          <w:rFonts w:asciiTheme="minorEastAsia" w:eastAsiaTheme="minorEastAsia" w:hAnsiTheme="minorEastAsia" w:cs="Calibri" w:hint="eastAsia"/>
          <w:kern w:val="2"/>
          <w:sz w:val="21"/>
          <w:szCs w:val="21"/>
        </w:rPr>
        <w:t>增加财政用于三项污染防治的资金（</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分），说明发挥了财政合理配置资源的作用。（</w:t>
      </w:r>
      <w:r w:rsidRPr="001C497D">
        <w:rPr>
          <w:rFonts w:asciiTheme="minorEastAsia" w:eastAsiaTheme="minorEastAsia" w:hAnsiTheme="minorEastAsia" w:hint="eastAsia"/>
          <w:kern w:val="2"/>
          <w:sz w:val="21"/>
          <w:szCs w:val="21"/>
        </w:rPr>
        <w:t>1</w:t>
      </w:r>
      <w:r w:rsidRPr="001C497D">
        <w:rPr>
          <w:rFonts w:asciiTheme="minorEastAsia" w:eastAsiaTheme="minorEastAsia" w:hAnsiTheme="minorEastAsia" w:cs="Calibri" w:hint="eastAsia"/>
          <w:kern w:val="2"/>
          <w:sz w:val="21"/>
          <w:szCs w:val="21"/>
        </w:rPr>
        <w:t>分）</w:t>
      </w:r>
    </w:p>
    <w:p w:rsidR="00D97A03" w:rsidRPr="00D97A03" w:rsidP="00D97A03">
      <w:pPr>
        <w:jc w:val="left"/>
        <w:rPr>
          <w:rFonts w:asciiTheme="minorEastAsia" w:eastAsiaTheme="minorEastAsia" w:hAnsiTheme="minorEastAsia" w:cs="宋体" w:hint="eastAsia"/>
          <w:szCs w:val="21"/>
        </w:rPr>
      </w:pPr>
    </w:p>
    <w:p w:rsidR="00BB0A7D" w:rsidRPr="00D97A03" w:rsidP="00D97A03">
      <w:pP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43.</w:t>
      </w:r>
      <w:r w:rsidRPr="00D97A03" w:rsidR="00D97A03">
        <w:rPr>
          <w:rFonts w:asciiTheme="minorEastAsia" w:eastAsiaTheme="minorEastAsia" w:hAnsiTheme="minorEastAsia" w:cs="楷体" w:hint="eastAsia"/>
          <w:szCs w:val="21"/>
        </w:rPr>
        <w:t xml:space="preserve"> </w:t>
      </w:r>
      <w:r w:rsidRPr="001C497D" w:rsidR="00D97A03">
        <w:rPr>
          <w:rFonts w:asciiTheme="minorEastAsia" w:eastAsiaTheme="minorEastAsia" w:hAnsiTheme="minorEastAsia" w:cs="楷体" w:hint="eastAsia"/>
          <w:szCs w:val="21"/>
        </w:rPr>
        <w:t>（12分）</w:t>
      </w:r>
      <w:r w:rsidRPr="00D97A03">
        <w:rPr>
          <w:rFonts w:asciiTheme="minorEastAsia" w:eastAsiaTheme="minorEastAsia" w:hAnsiTheme="minorEastAsia" w:cs="宋体" w:hint="eastAsia"/>
          <w:szCs w:val="21"/>
        </w:rPr>
        <w:t>（1）劳动者是生产过程的主体，在生产力发展中起主导作用，浙江省引进创新型人才，能够有力推动浙江经济高质量发展。（2分）</w:t>
      </w:r>
    </w:p>
    <w:p w:rsidR="00BB0A7D" w:rsidRPr="00D97A03" w:rsidP="00D97A03">
      <w:pP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浙江省引进创新型人才，启示劳动者要树立竞争就业观，要适应社会需求不断提高自身素质和技能。（2分）</w:t>
      </w:r>
    </w:p>
    <w:p w:rsidR="00BB0A7D" w:rsidRPr="00D97A03" w:rsidP="00D97A03">
      <w:pPr>
        <w:rPr>
          <w:rFonts w:asciiTheme="minorEastAsia" w:eastAsiaTheme="minorEastAsia" w:hAnsiTheme="minorEastAsia" w:cs="宋体" w:hint="eastAsia"/>
          <w:szCs w:val="21"/>
        </w:rPr>
      </w:pPr>
      <w:r w:rsidRPr="00D97A03">
        <w:rPr>
          <w:rFonts w:asciiTheme="minorEastAsia" w:eastAsiaTheme="minorEastAsia" w:hAnsiTheme="minorEastAsia" w:cs="宋体" w:hint="eastAsia"/>
          <w:szCs w:val="21"/>
        </w:rPr>
        <w:t>（2）浙江省大规模</w:t>
      </w:r>
      <w:r w:rsidRPr="00D97A03">
        <w:rPr>
          <w:rFonts w:asciiTheme="minorEastAsia" w:eastAsiaTheme="minorEastAsia" w:hAnsiTheme="minorEastAsia" w:cs="宋体"/>
          <w:szCs w:val="21"/>
        </w:rPr>
        <w:t>引进创新型人才</w:t>
      </w:r>
      <w:r w:rsidRPr="00D97A03">
        <w:rPr>
          <w:rFonts w:asciiTheme="minorEastAsia" w:eastAsiaTheme="minorEastAsia" w:hAnsiTheme="minorEastAsia" w:cs="宋体" w:hint="eastAsia"/>
          <w:szCs w:val="21"/>
        </w:rPr>
        <w:t>，强化人才支撑，坚持了创新发展理念（2分）；浙江省大力推动节能环保低碳新能源产业发展，建设资源节约型、环境友好型社会，坚持绿色发展理念（2分）；浙江省创新精准脱贫方法，加大扶贫开发力度，提高了农民收入，缩小了城乡、区域发展差距，坚持了协调和共享的发展理念。（4分）</w:t>
      </w:r>
    </w:p>
    <w:p w:rsidR="00BB0A7D" w:rsidRPr="00D97A03" w:rsidP="00D97A03">
      <w:pPr>
        <w:rPr>
          <w:rFonts w:asciiTheme="minorEastAsia" w:eastAsiaTheme="minorEastAsia" w:hAnsiTheme="minorEastAsia" w:cs="宋体" w:hint="eastAsia"/>
          <w:bCs/>
          <w:szCs w:val="21"/>
        </w:rPr>
      </w:pPr>
    </w:p>
    <w:p w:rsidR="00BB0A7D" w:rsidRPr="00D97A03" w:rsidP="00D97A03">
      <w:pPr>
        <w:ind w:firstLine="200" w:firstLineChars="100"/>
        <w:rPr>
          <w:rFonts w:asciiTheme="minorEastAsia" w:eastAsiaTheme="minorEastAsia" w:hAnsiTheme="minorEastAsia" w:cs="宋体" w:hint="eastAsia"/>
          <w:szCs w:val="21"/>
        </w:rPr>
      </w:pPr>
    </w:p>
    <w:p w:rsidR="00BB0A7D" w:rsidRPr="00D97A03" w:rsidP="00D97A03">
      <w:pPr>
        <w:rPr>
          <w:rFonts w:asciiTheme="minorEastAsia" w:eastAsiaTheme="minorEastAsia" w:hAnsiTheme="minorEastAsia" w:hint="eastAsia"/>
          <w:szCs w:val="21"/>
        </w:rPr>
      </w:pPr>
    </w:p>
    <w:p w:rsidR="004408ED" w:rsidRPr="00D97A03" w:rsidP="00D97A03">
      <w:pPr>
        <w:rPr>
          <w:rFonts w:asciiTheme="minorEastAsia" w:eastAsiaTheme="minorEastAsia" w:hAnsiTheme="minorEastAsia"/>
          <w:szCs w:val="21"/>
        </w:rPr>
      </w:pPr>
    </w:p>
    <w:sectPr>
      <w:headerReference w:type="even" r:id="rId5"/>
      <w:headerReference w:type="default" r:id="rId6"/>
      <w:headerReference w:type="first" r:id="rId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5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height:41.8pt;margin-left:0;margin-top:0;mso-position-horizontal:center;mso-position-horizontal-relative:margin;mso-position-vertical:center;mso-position-vertical-relative:margin;position:absolute;rotation:315;width:543.65pt;z-index:-251657216" o:allowincell="f" fillcolor="red" stroked="f">
          <v:fill opacity="0.5"/>
          <v:textpath style="font-family:&quot;宋体&quot;;font-size:1pt" string="高考资源网（www.ks5u.com）"/>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357" w:rsidRPr="00D97A03" w:rsidP="00D97A03">
    <w:pPr>
      <w:pStyle w:val="Header"/>
      <w:jc w:val="both"/>
      <w:rPr>
        <w:rFonts w:hint="eastAsia"/>
        <w:szCs w:val="3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135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height:41.8pt;margin-left:0;margin-top:0;mso-position-horizontal:center;mso-position-horizontal-relative:margin;mso-position-vertical:center;mso-position-vertical-relative:margin;position:absolute;rotation:315;width:543.65pt;z-index:-251658240" o:allowincell="f" fillcolor="red" stroked="f">
          <v:fill opacity="0.5"/>
          <v:textpath style="font-family:&quot;宋体&quot;;font-size:1pt" string="高考资源网（www.ks5u.com）"/>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3CC020"/>
    <w:multiLevelType w:val="singleLevel"/>
    <w:tmpl w:val="603CC020"/>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A7D"/>
    <w:pPr>
      <w:widowControl w:val="0"/>
      <w:jc w:val="both"/>
    </w:pPr>
    <w:rPr>
      <w:rFonts w:ascii="Calibri" w:eastAsia="宋体" w:hAnsi="Calibri" w:cs="Times New Roman"/>
    </w:rPr>
  </w:style>
  <w:style w:type="paragraph" w:styleId="Heading1">
    <w:name w:val="heading 1"/>
    <w:basedOn w:val="Normal"/>
    <w:next w:val="Normal"/>
    <w:link w:val="1Char"/>
    <w:qFormat/>
    <w:rsid w:val="00BB0A7D"/>
    <w:pPr>
      <w:keepNext/>
      <w:keepLines/>
      <w:widowControl/>
      <w:spacing w:before="480" w:line="276" w:lineRule="auto"/>
      <w:jc w:val="left"/>
      <w:outlineLvl w:val="0"/>
    </w:pPr>
    <w:rPr>
      <w:rFonts w:ascii="Cambria" w:hAnsi="Cambria"/>
      <w:b/>
      <w:bCs/>
      <w:color w:val="365F91"/>
      <w:kern w:val="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BB0A7D"/>
    <w:rPr>
      <w:rFonts w:ascii="Cambria" w:eastAsia="宋体" w:hAnsi="Cambria" w:cs="Times New Roman"/>
      <w:b/>
      <w:bCs/>
      <w:color w:val="365F91"/>
      <w:kern w:val="0"/>
      <w:sz w:val="28"/>
      <w:szCs w:val="28"/>
    </w:rPr>
  </w:style>
  <w:style w:type="paragraph" w:styleId="Header">
    <w:name w:val="header"/>
    <w:basedOn w:val="Normal"/>
    <w:link w:val="Char"/>
    <w:rsid w:val="00BB0A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rsid w:val="00BB0A7D"/>
    <w:rPr>
      <w:rFonts w:ascii="Calibri" w:eastAsia="宋体" w:hAnsi="Calibri" w:cs="Times New Roman"/>
      <w:sz w:val="18"/>
      <w:szCs w:val="18"/>
    </w:rPr>
  </w:style>
  <w:style w:type="paragraph" w:styleId="Footer">
    <w:name w:val="footer"/>
    <w:basedOn w:val="Normal"/>
    <w:link w:val="Char0"/>
    <w:rsid w:val="00BB0A7D"/>
    <w:pPr>
      <w:tabs>
        <w:tab w:val="center" w:pos="4153"/>
        <w:tab w:val="right" w:pos="8306"/>
      </w:tabs>
      <w:snapToGrid w:val="0"/>
      <w:jc w:val="left"/>
    </w:pPr>
    <w:rPr>
      <w:sz w:val="18"/>
      <w:szCs w:val="18"/>
    </w:rPr>
  </w:style>
  <w:style w:type="character" w:customStyle="1" w:styleId="Char0">
    <w:name w:val="页脚 Char"/>
    <w:basedOn w:val="DefaultParagraphFont"/>
    <w:link w:val="Footer"/>
    <w:rsid w:val="00BB0A7D"/>
    <w:rPr>
      <w:rFonts w:ascii="Calibri" w:eastAsia="宋体" w:hAnsi="Calibri" w:cs="Times New Roman"/>
      <w:sz w:val="18"/>
      <w:szCs w:val="18"/>
    </w:rPr>
  </w:style>
  <w:style w:type="paragraph" w:styleId="NormalWeb">
    <w:name w:val="Normal (Web)"/>
    <w:aliases w:val="普通 (Web),普通 (Web)1,普通(Web),普通(Web) Char,普通(Web) Char Char,普通(Web) Char Char Char Char,普通(Web) Char Char Char Char Char Char Char,普通(Web) Char Char Char Char Char Char Char Char,普通(Web) Char Char Char Char Char Char Char Char Char,普通(网站)1"/>
    <w:basedOn w:val="Normal"/>
    <w:semiHidden/>
    <w:rsid w:val="00D97A03"/>
    <w:pPr>
      <w:widowControl/>
      <w:spacing w:before="100" w:beforeAutospacing="1" w:after="100" w:afterAutospacing="1"/>
      <w:jc w:val="left"/>
    </w:pPr>
    <w:rPr>
      <w:rFonts w:ascii="宋体" w:hAnsi="宋体"/>
      <w:color w:val="000000"/>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161</Words>
  <Characters>920</Characters>
  <Application>Microsoft Office Word</Application>
  <DocSecurity>0</DocSecurity>
  <Lines>7</Lines>
  <Paragraphs>2</Paragraphs>
  <ScaleCrop>false</ScaleCrop>
  <Company>微软中国</Company>
  <LinksUpToDate>false</LinksUpToDate>
  <CharactersWithSpaces>1079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2019-02-17T03:23:00Z</dcterms:created>
  <dcterms:modified xsi:type="dcterms:W3CDTF">2019-02-17T03:37:00Z</dcterms:modified>
</cp:coreProperties>
</file>