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7140"/>
        </w:tabs>
        <w:spacing w:line="240" w:lineRule="auto"/>
        <w:jc w:val="center"/>
        <w:textAlignment w:val="center"/>
        <w:rPr>
          <w:rFonts w:hint="eastAsia" w:ascii="宋体" w:hAnsi="宋体"/>
          <w:b/>
          <w:color w:val="000000"/>
          <w:sz w:val="32"/>
          <w:lang w:eastAsia="zh-CN"/>
        </w:rPr>
      </w:pPr>
      <w:r>
        <w:rPr>
          <w:rFonts w:hint="eastAsia" w:ascii="宋体" w:hAnsi="宋体"/>
          <w:b/>
          <w:color w:val="000000"/>
          <w:sz w:val="32"/>
        </w:rPr>
        <w:pict>
          <v:shape id="_x0000_s1025" o:spid="_x0000_s1025" o:spt="75" type="#_x0000_t75" style="position:absolute;left:0pt;margin-left:959pt;margin-top:922pt;height:32pt;width:35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</v:shape>
        </w:pict>
      </w:r>
      <w:r>
        <w:rPr>
          <w:rFonts w:hint="eastAsia" w:ascii="宋体" w:hAnsi="宋体"/>
          <w:b/>
          <w:color w:val="000000"/>
          <w:sz w:val="32"/>
        </w:rPr>
        <w:t>息县</w:t>
      </w:r>
      <w:r>
        <w:rPr>
          <w:rFonts w:hint="eastAsia" w:ascii="宋体"/>
          <w:b/>
          <w:color w:val="000000"/>
          <w:sz w:val="32"/>
          <w:lang w:eastAsia="zh-CN"/>
        </w:rPr>
        <w:t>高中</w:t>
      </w:r>
      <w:r>
        <w:rPr>
          <w:rFonts w:ascii="宋体" w:hAnsi="宋体"/>
          <w:b/>
          <w:color w:val="000000"/>
          <w:sz w:val="32"/>
        </w:rPr>
        <w:t>2018</w:t>
      </w:r>
      <w:r>
        <w:rPr>
          <w:rFonts w:hint="eastAsia" w:ascii="宋体" w:hAnsi="宋体"/>
          <w:b/>
          <w:color w:val="000000"/>
          <w:sz w:val="32"/>
          <w:lang w:eastAsia="zh-CN"/>
        </w:rPr>
        <w:t>级高一</w:t>
      </w:r>
      <w:r>
        <w:rPr>
          <w:rFonts w:ascii="宋体" w:hAnsi="宋体"/>
          <w:b/>
          <w:color w:val="000000"/>
          <w:sz w:val="32"/>
        </w:rPr>
        <w:t>上期第</w:t>
      </w:r>
      <w:r>
        <w:rPr>
          <w:rFonts w:hint="eastAsia" w:ascii="宋体"/>
          <w:b/>
          <w:color w:val="000000"/>
          <w:sz w:val="32"/>
          <w:lang w:val="en-US" w:eastAsia="zh-CN"/>
        </w:rPr>
        <w:t>四</w:t>
      </w:r>
      <w:r>
        <w:rPr>
          <w:rFonts w:ascii="宋体" w:hAnsi="宋体"/>
          <w:b/>
          <w:color w:val="000000"/>
          <w:sz w:val="32"/>
        </w:rPr>
        <w:t>次</w:t>
      </w:r>
      <w:r>
        <w:rPr>
          <w:rFonts w:hint="eastAsia" w:ascii="宋体" w:hAnsi="宋体"/>
          <w:b/>
          <w:color w:val="000000"/>
          <w:sz w:val="32"/>
          <w:lang w:eastAsia="zh-CN"/>
        </w:rPr>
        <w:t>阶段性考试</w:t>
      </w:r>
    </w:p>
    <w:p>
      <w:pPr>
        <w:tabs>
          <w:tab w:val="left" w:pos="7140"/>
        </w:tabs>
        <w:spacing w:line="240" w:lineRule="auto"/>
        <w:jc w:val="center"/>
        <w:textAlignment w:val="center"/>
        <w:rPr>
          <w:rFonts w:hint="eastAsia" w:ascii="宋体" w:eastAsia="宋体" w:cs="Times New Roman"/>
          <w:kern w:val="0"/>
          <w:sz w:val="30"/>
          <w:szCs w:val="30"/>
          <w:lang w:val="en-US" w:eastAsia="zh-CN"/>
        </w:rPr>
      </w:pPr>
      <w:r>
        <w:rPr>
          <w:rFonts w:hint="eastAsia" w:ascii="宋体"/>
          <w:b/>
          <w:color w:val="000000"/>
          <w:sz w:val="32"/>
          <w:lang w:val="en-US" w:eastAsia="zh-CN"/>
        </w:rPr>
        <w:t>政治试题</w:t>
      </w:r>
      <w:r>
        <w:rPr>
          <w:rFonts w:hint="eastAsia" w:ascii="宋体" w:hAnsi="宋体"/>
          <w:b/>
          <w:color w:val="000000"/>
          <w:sz w:val="32"/>
          <w:lang w:val="en-US" w:eastAsia="zh-CN"/>
        </w:rPr>
        <w:t>B</w:t>
      </w:r>
      <w:r>
        <w:rPr>
          <w:rFonts w:hint="eastAsia" w:ascii="宋体" w:hAnsi="宋体"/>
          <w:b/>
          <w:color w:val="000000"/>
          <w:sz w:val="32"/>
        </w:rPr>
        <w:t>卷</w:t>
      </w:r>
      <w:r>
        <w:rPr>
          <w:rFonts w:hint="eastAsia" w:ascii="宋体"/>
          <w:b/>
          <w:color w:val="000000"/>
          <w:sz w:val="32"/>
          <w:lang w:val="en-US" w:eastAsia="zh-CN"/>
        </w:rPr>
        <w:t>答案</w:t>
      </w:r>
    </w:p>
    <w:p>
      <w:pPr>
        <w:spacing w:line="240" w:lineRule="auto"/>
        <w:jc w:val="both"/>
        <w:textAlignment w:val="center"/>
        <w:rPr>
          <w:rFonts w:hint="eastAsia" w:ascii="宋体" w:cs="Times New Roman"/>
          <w:color w:val="auto"/>
          <w:kern w:val="0"/>
          <w:sz w:val="28"/>
          <w:szCs w:val="28"/>
          <w:lang w:val="en-US" w:eastAsia="zh-CN"/>
        </w:rPr>
      </w:pPr>
      <w:r>
        <w:rPr>
          <w:rFonts w:ascii="宋体" w:cs="Times New Roman"/>
          <w:color w:val="auto"/>
          <w:kern w:val="0"/>
          <w:sz w:val="28"/>
          <w:szCs w:val="28"/>
        </w:rPr>
        <w:t>1</w:t>
      </w:r>
      <w:r>
        <w:rPr>
          <w:rFonts w:hint="eastAsia" w:ascii="宋体" w:cs="Times New Roman"/>
          <w:color w:val="auto"/>
          <w:kern w:val="0"/>
          <w:sz w:val="28"/>
          <w:szCs w:val="28"/>
          <w:lang w:val="en-US" w:eastAsia="zh-CN"/>
        </w:rPr>
        <w:t xml:space="preserve">-5 CCDDA          6-10 CDACC         11-15 CABBC   </w:t>
      </w:r>
    </w:p>
    <w:p>
      <w:pPr>
        <w:spacing w:line="240" w:lineRule="auto"/>
        <w:jc w:val="both"/>
        <w:textAlignment w:val="center"/>
        <w:rPr>
          <w:rFonts w:hint="eastAsia" w:ascii="宋体" w:hAnsi="宋体" w:eastAsia="宋体" w:cs="宋体"/>
          <w:b w:val="0"/>
          <w:i w:val="0"/>
          <w:caps w:val="0"/>
          <w:color w:val="auto"/>
          <w:spacing w:val="8"/>
          <w:sz w:val="21"/>
          <w:szCs w:val="21"/>
          <w:shd w:val="clear" w:color="auto" w:fill="FFFFFF"/>
          <w:lang w:val="en-US" w:eastAsia="zh-CN"/>
        </w:rPr>
      </w:pPr>
      <w:r>
        <w:rPr>
          <w:rFonts w:hint="eastAsia" w:ascii="宋体" w:cs="Times New Roman"/>
          <w:color w:val="auto"/>
          <w:kern w:val="0"/>
          <w:sz w:val="28"/>
          <w:szCs w:val="28"/>
          <w:lang w:val="en-US" w:eastAsia="zh-CN"/>
        </w:rPr>
        <w:t>16-2O DCACA        21-25 DACDC        26-3O DCCCD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0"/>
        <w:jc w:val="both"/>
        <w:textAlignment w:val="auto"/>
        <w:rPr>
          <w:rFonts w:hint="eastAsia" w:ascii="宋体" w:hAnsi="宋体" w:eastAsia="宋体" w:cs="宋体"/>
          <w:b w:val="0"/>
          <w:i w:val="0"/>
          <w:caps w:val="0"/>
          <w:color w:val="auto"/>
          <w:spacing w:val="8"/>
          <w:sz w:val="21"/>
          <w:szCs w:val="21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8"/>
          <w:sz w:val="21"/>
          <w:szCs w:val="21"/>
          <w:shd w:val="clear" w:color="auto" w:fill="FFFFFF"/>
          <w:lang w:val="en-US" w:eastAsia="zh-CN"/>
        </w:rPr>
        <w:t>31.（1）对生活的影响：①一般来说，当某种商品的价格上升时，人们会减少对它的购买；当这种商品的价格下降时，人们会增加对它的购买。实行阶梯电价,用电量越多电价可能越高，有利于抑制不合理用电需求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0"/>
        <w:jc w:val="both"/>
        <w:textAlignment w:val="auto"/>
        <w:rPr>
          <w:rFonts w:hint="eastAsia" w:ascii="宋体" w:hAnsi="宋体" w:eastAsia="宋体" w:cs="宋体"/>
          <w:b w:val="0"/>
          <w:i w:val="0"/>
          <w:caps w:val="0"/>
          <w:color w:val="auto"/>
          <w:spacing w:val="8"/>
          <w:sz w:val="21"/>
          <w:szCs w:val="21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8"/>
          <w:sz w:val="21"/>
          <w:szCs w:val="21"/>
          <w:shd w:val="clear" w:color="auto" w:fill="FFFFFF"/>
          <w:lang w:val="en-US" w:eastAsia="zh-CN"/>
        </w:rPr>
        <w:t>②生活必需品的需求量对价格变动的反应程度较小。电是生活必需品,其价格变动不会影响消费者对其需求量的明显变化。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0"/>
        <w:jc w:val="both"/>
        <w:textAlignment w:val="auto"/>
        <w:rPr>
          <w:rFonts w:hint="eastAsia" w:ascii="宋体" w:hAnsi="宋体" w:eastAsia="宋体" w:cs="宋体"/>
          <w:b w:val="0"/>
          <w:i w:val="0"/>
          <w:caps w:val="0"/>
          <w:color w:val="auto"/>
          <w:spacing w:val="8"/>
          <w:sz w:val="21"/>
          <w:szCs w:val="21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8"/>
          <w:sz w:val="21"/>
          <w:szCs w:val="21"/>
          <w:shd w:val="clear" w:color="auto" w:fill="FFFFFF"/>
          <w:lang w:val="en-US" w:eastAsia="zh-CN"/>
        </w:rPr>
        <w:t>③如果两种商品互为替代品，一种商品价格上涨，需求量减少，另一种商品的需求量会增加。实行阶梯电价，用电量较多的居民可能会选择电的替代能源。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0"/>
        <w:jc w:val="both"/>
        <w:textAlignment w:val="auto"/>
        <w:rPr>
          <w:rFonts w:hint="eastAsia" w:ascii="宋体" w:hAnsi="宋体" w:eastAsia="宋体" w:cs="宋体"/>
          <w:b w:val="0"/>
          <w:i w:val="0"/>
          <w:caps w:val="0"/>
          <w:color w:val="auto"/>
          <w:spacing w:val="8"/>
          <w:sz w:val="21"/>
          <w:szCs w:val="21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8"/>
          <w:sz w:val="21"/>
          <w:szCs w:val="21"/>
          <w:shd w:val="clear" w:color="auto" w:fill="FFFFFF"/>
          <w:lang w:val="en-US" w:eastAsia="zh-CN"/>
        </w:rPr>
        <w:t>④电价的调整有利于引导消费者树立正确的消费观念,保护环境,绿色消费。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0"/>
        <w:jc w:val="both"/>
        <w:textAlignment w:val="auto"/>
        <w:rPr>
          <w:rFonts w:hint="eastAsia" w:ascii="宋体" w:hAnsi="宋体" w:eastAsia="宋体" w:cs="宋体"/>
          <w:b w:val="0"/>
          <w:i w:val="0"/>
          <w:caps w:val="0"/>
          <w:color w:val="auto"/>
          <w:spacing w:val="8"/>
          <w:sz w:val="21"/>
          <w:szCs w:val="21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8"/>
          <w:sz w:val="21"/>
          <w:szCs w:val="21"/>
          <w:shd w:val="clear" w:color="auto" w:fill="FFFFFF"/>
          <w:lang w:val="en-US" w:eastAsia="zh-CN"/>
        </w:rPr>
        <w:t>（2）对生产的影响:①价格变动调节产量。实行阶梯电价后，企业可能会缩小高能耗产品的生产规模,扩大低能耗节电产品的生产。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0"/>
        <w:jc w:val="both"/>
        <w:textAlignment w:val="auto"/>
        <w:rPr>
          <w:rFonts w:hint="eastAsia" w:ascii="宋体" w:cs="宋体"/>
          <w:b w:val="0"/>
          <w:i w:val="0"/>
          <w:caps w:val="0"/>
          <w:color w:val="auto"/>
          <w:spacing w:val="8"/>
          <w:sz w:val="21"/>
          <w:szCs w:val="21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8"/>
          <w:sz w:val="21"/>
          <w:szCs w:val="21"/>
          <w:shd w:val="clear" w:color="auto" w:fill="FFFFFF"/>
          <w:lang w:val="en-US" w:eastAsia="zh-CN"/>
        </w:rPr>
        <w:t>②价格变动调节生产要素的投入。实行阶梯电价，生产企业可能会适当选择电的替代能源，提高资源的使用效率。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0"/>
        <w:jc w:val="both"/>
        <w:textAlignment w:val="auto"/>
        <w:rPr>
          <w:rFonts w:hint="eastAsia" w:ascii="宋体" w:cs="宋体"/>
          <w:b w:val="0"/>
          <w:i w:val="0"/>
          <w:caps w:val="0"/>
          <w:color w:val="auto"/>
          <w:spacing w:val="8"/>
          <w:sz w:val="21"/>
          <w:szCs w:val="21"/>
          <w:shd w:val="clear" w:color="auto" w:fill="FFFFFF"/>
          <w:lang w:val="en-US" w:eastAsia="zh-CN"/>
        </w:rPr>
      </w:pP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0"/>
        <w:jc w:val="both"/>
        <w:textAlignment w:val="auto"/>
        <w:rPr>
          <w:rFonts w:hint="eastAsia" w:ascii="宋体" w:hAnsi="宋体" w:eastAsia="宋体" w:cs="宋体"/>
          <w:b w:val="0"/>
          <w:i w:val="0"/>
          <w:caps w:val="0"/>
          <w:color w:val="auto"/>
          <w:spacing w:val="8"/>
          <w:sz w:val="21"/>
          <w:szCs w:val="21"/>
          <w:shd w:val="clear" w:color="auto" w:fill="FFFFFF"/>
          <w:lang w:val="en-US" w:eastAsia="zh-CN"/>
        </w:rPr>
      </w:pPr>
      <w:r>
        <w:rPr>
          <w:rFonts w:hint="eastAsia" w:ascii="宋体" w:cs="宋体"/>
          <w:b w:val="0"/>
          <w:i w:val="0"/>
          <w:caps w:val="0"/>
          <w:color w:val="auto"/>
          <w:spacing w:val="8"/>
          <w:sz w:val="21"/>
          <w:szCs w:val="21"/>
          <w:shd w:val="clear" w:color="auto" w:fill="FFFFFF"/>
          <w:lang w:val="en-US" w:eastAsia="zh-CN"/>
        </w:rPr>
        <w:t>32.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8"/>
          <w:sz w:val="21"/>
          <w:szCs w:val="21"/>
          <w:shd w:val="clear" w:color="auto" w:fill="FFFFFF"/>
          <w:lang w:val="en-US" w:eastAsia="zh-CN"/>
        </w:rPr>
        <w:t>①要制定正确的经营战略，不能盲目引进外资，采用合理的法人治理机构在合资合作中要掌握控制力；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8"/>
          <w:sz w:val="21"/>
          <w:szCs w:val="21"/>
          <w:shd w:val="clear" w:color="auto" w:fill="FFFFFF"/>
          <w:lang w:val="en-US" w:eastAsia="zh-CN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8"/>
          <w:sz w:val="21"/>
          <w:szCs w:val="21"/>
          <w:shd w:val="clear" w:color="auto" w:fill="FFFFFF"/>
          <w:lang w:val="en-US" w:eastAsia="zh-CN"/>
        </w:rPr>
        <w:t>②诚信经营，树立良好的信誉和企业形象，积极承担社会责任。真诚为客户服务，以诚信铸就基业；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8"/>
          <w:sz w:val="21"/>
          <w:szCs w:val="21"/>
          <w:shd w:val="clear" w:color="auto" w:fill="FFFFFF"/>
          <w:lang w:val="en-US" w:eastAsia="zh-CN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8"/>
          <w:sz w:val="21"/>
          <w:szCs w:val="21"/>
          <w:shd w:val="clear" w:color="auto" w:fill="FFFFFF"/>
          <w:lang w:val="en-US" w:eastAsia="zh-CN"/>
        </w:rPr>
        <w:t>③要提高自主创新能力，依靠科技进步、科学管理等，形成自己的竞争优势。加大研发投入，以创新提高企业竞争力；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8"/>
          <w:sz w:val="21"/>
          <w:szCs w:val="21"/>
          <w:shd w:val="clear" w:color="auto" w:fill="FFFFFF"/>
          <w:lang w:val="en-US" w:eastAsia="zh-CN"/>
        </w:rPr>
        <w:br w:type="textWrapping"/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8"/>
          <w:sz w:val="21"/>
          <w:szCs w:val="21"/>
          <w:shd w:val="clear" w:color="auto" w:fill="FFFFFF"/>
          <w:lang w:val="en-US" w:eastAsia="zh-CN"/>
        </w:rPr>
        <w:t>④人是生产力中最具决定性的力量，企业发展必须要提高经营者和劳动者的素质。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/>
        <w:jc w:val="both"/>
        <w:textAlignment w:val="auto"/>
        <w:rPr>
          <w:rFonts w:hint="eastAsia" w:ascii="宋体" w:hAnsi="宋体" w:eastAsia="宋体" w:cs="宋体"/>
          <w:b w:val="0"/>
          <w:i w:val="0"/>
          <w:caps w:val="0"/>
          <w:color w:val="auto"/>
          <w:spacing w:val="8"/>
          <w:sz w:val="21"/>
          <w:szCs w:val="21"/>
          <w:shd w:val="clear" w:color="auto" w:fill="FFFFFF"/>
          <w:lang w:val="en-US" w:eastAsia="zh-CN"/>
        </w:rPr>
      </w:pP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/>
        <w:jc w:val="both"/>
        <w:textAlignment w:val="auto"/>
        <w:rPr>
          <w:rFonts w:hint="eastAsia" w:ascii="微软雅黑" w:hAnsi="微软雅黑" w:eastAsia="微软雅黑" w:cs="微软雅黑"/>
          <w:b w:val="0"/>
          <w:i w:val="0"/>
          <w:caps w:val="0"/>
          <w:color w:val="auto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8"/>
          <w:sz w:val="21"/>
          <w:szCs w:val="21"/>
          <w:shd w:val="clear" w:color="auto" w:fill="FFFFFF"/>
          <w:lang w:val="en-US" w:eastAsia="zh-CN"/>
        </w:rPr>
        <w:t>3</w:t>
      </w:r>
      <w:r>
        <w:rPr>
          <w:rFonts w:hint="eastAsia" w:ascii="宋体" w:cs="宋体"/>
          <w:b w:val="0"/>
          <w:i w:val="0"/>
          <w:caps w:val="0"/>
          <w:color w:val="auto"/>
          <w:spacing w:val="8"/>
          <w:sz w:val="21"/>
          <w:szCs w:val="21"/>
          <w:shd w:val="clear" w:color="auto" w:fill="FFFFFF"/>
          <w:lang w:val="en-US" w:eastAsia="zh-CN"/>
        </w:rPr>
        <w:t>3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8"/>
          <w:sz w:val="21"/>
          <w:szCs w:val="21"/>
          <w:shd w:val="clear" w:color="auto" w:fill="FFFFFF"/>
        </w:rPr>
        <w:t>.①要进一步完善我国的分配制度，缩小收入差距，增强居民的消费能力，提高人们的消费水平和优化消费结构，发挥消费对经济高质发展的能动作用。②国家要制定正确的经济政策，发挥财政税收的积极作用，引导质量变革、效率变革、动力变革，促进社会总供给与社会总需求在更高质量上的平衡，实现经济社会的可持续发展。</w:t>
      </w:r>
      <w:r>
        <w:rPr>
          <w:rFonts w:hint="eastAsia" w:ascii="微软雅黑" w:hAnsi="微软雅黑" w:eastAsia="微软雅黑" w:cs="微软雅黑"/>
          <w:b w:val="0"/>
          <w:i w:val="0"/>
          <w:caps w:val="0"/>
          <w:color w:val="auto"/>
          <w:spacing w:val="8"/>
          <w:sz w:val="21"/>
          <w:szCs w:val="21"/>
          <w:shd w:val="clear" w:color="auto" w:fill="FFFFFF"/>
        </w:rPr>
        <w:t>    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0"/>
        <w:jc w:val="both"/>
        <w:textAlignment w:val="auto"/>
        <w:rPr>
          <w:rFonts w:hint="eastAsia" w:ascii="微软雅黑" w:hAnsi="微软雅黑" w:eastAsia="微软雅黑" w:cs="微软雅黑"/>
          <w:b w:val="0"/>
          <w:i w:val="0"/>
          <w:caps w:val="0"/>
          <w:color w:val="auto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8"/>
          <w:sz w:val="21"/>
          <w:szCs w:val="21"/>
          <w:shd w:val="clear" w:color="auto" w:fill="FFFFFF"/>
          <w:lang w:val="en-US" w:eastAsia="zh-CN"/>
        </w:rPr>
        <w:t>3</w:t>
      </w:r>
      <w:r>
        <w:rPr>
          <w:rFonts w:hint="eastAsia" w:ascii="宋体" w:cs="宋体"/>
          <w:b w:val="0"/>
          <w:i w:val="0"/>
          <w:caps w:val="0"/>
          <w:color w:val="auto"/>
          <w:spacing w:val="8"/>
          <w:sz w:val="21"/>
          <w:szCs w:val="21"/>
          <w:shd w:val="clear" w:color="auto" w:fill="FFFFFF"/>
          <w:lang w:val="en-US" w:eastAsia="zh-CN"/>
        </w:rPr>
        <w:t>4</w:t>
      </w:r>
      <w:r>
        <w:rPr>
          <w:rFonts w:hint="eastAsia" w:ascii="宋体" w:hAnsi="宋体" w:eastAsia="宋体" w:cs="宋体"/>
          <w:b w:val="0"/>
          <w:i w:val="0"/>
          <w:caps w:val="0"/>
          <w:color w:val="auto"/>
          <w:spacing w:val="8"/>
          <w:sz w:val="21"/>
          <w:szCs w:val="21"/>
          <w:shd w:val="clear" w:color="auto" w:fill="FFFFFF"/>
        </w:rPr>
        <w:t>.①国家财政是促进社会公平、改善人民生活的物质保障。H市各级党委和政府运用财政资金，对丧失劳动能力的贫困群体实施兜底性保障政策，发挥了财政在建立社保体系、保障人民生活、促进社会和谐方面的作用和功能。②国家财政具有促进资源合理配置的作用。H市运用财政资金支持贫困群体发展特色产业和转移就业，实施扶贫搬迁，促进了资源的合理配置，有利于当地经济的协调持续发展。</w:t>
      </w:r>
    </w:p>
    <w:p>
      <w:pPr>
        <w:numPr>
          <w:ilvl w:val="0"/>
          <w:numId w:val="0"/>
        </w:numPr>
        <w:spacing w:line="240" w:lineRule="auto"/>
        <w:textAlignment w:val="center"/>
        <w:rPr>
          <w:rFonts w:hint="eastAsia" w:ascii="宋体" w:cs="宋体"/>
          <w:color w:val="auto"/>
          <w:kern w:val="0"/>
          <w:sz w:val="28"/>
          <w:szCs w:val="28"/>
        </w:rPr>
      </w:pPr>
    </w:p>
    <w:p>
      <w:pPr>
        <w:numPr>
          <w:ilvl w:val="0"/>
          <w:numId w:val="0"/>
        </w:numPr>
        <w:spacing w:line="240" w:lineRule="auto"/>
        <w:textAlignment w:val="center"/>
        <w:rPr>
          <w:rFonts w:hint="eastAsia" w:ascii="宋体" w:cs="宋体"/>
          <w:color w:val="auto"/>
          <w:kern w:val="0"/>
          <w:sz w:val="28"/>
          <w:szCs w:val="28"/>
        </w:rPr>
      </w:pPr>
    </w:p>
    <w:p>
      <w:pPr>
        <w:numPr>
          <w:ilvl w:val="0"/>
          <w:numId w:val="0"/>
        </w:numPr>
        <w:spacing w:line="240" w:lineRule="auto"/>
        <w:textAlignment w:val="center"/>
        <w:rPr>
          <w:rFonts w:hint="eastAsia" w:ascii="宋体" w:cs="宋体"/>
          <w:color w:val="auto"/>
          <w:kern w:val="0"/>
          <w:sz w:val="28"/>
          <w:szCs w:val="28"/>
        </w:rPr>
      </w:pPr>
    </w:p>
    <w:p>
      <w:pPr>
        <w:numPr>
          <w:ilvl w:val="0"/>
          <w:numId w:val="0"/>
        </w:numPr>
        <w:spacing w:line="240" w:lineRule="auto"/>
        <w:textAlignment w:val="center"/>
        <w:rPr>
          <w:rFonts w:hint="eastAsia" w:ascii="宋体" w:cs="宋体"/>
          <w:color w:val="auto"/>
          <w:kern w:val="0"/>
          <w:sz w:val="28"/>
          <w:szCs w:val="28"/>
        </w:rPr>
      </w:pPr>
    </w:p>
    <w:p>
      <w:pPr>
        <w:spacing w:line="240" w:lineRule="auto"/>
        <w:textAlignment w:val="center"/>
        <w:rPr>
          <w:rFonts w:ascii="宋体" w:cs="Times New Roman"/>
          <w:color w:val="auto"/>
          <w:kern w:val="0"/>
          <w:sz w:val="28"/>
          <w:szCs w:val="28"/>
        </w:rPr>
      </w:pPr>
      <w:r>
        <w:rPr>
          <w:rFonts w:ascii="宋体" w:cs="宋体"/>
          <w:color w:val="auto"/>
          <w:kern w:val="0"/>
          <w:sz w:val="28"/>
          <w:szCs w:val="28"/>
        </w:rPr>
        <w:br w:type="textWrapping"/>
      </w:r>
    </w:p>
    <w:p>
      <w:pPr>
        <w:spacing w:line="240" w:lineRule="auto"/>
        <w:textAlignment w:val="center"/>
        <w:rPr>
          <w:rFonts w:ascii="宋体" w:cs="Times New Roman"/>
          <w:color w:val="auto"/>
          <w:kern w:val="0"/>
          <w:sz w:val="28"/>
          <w:szCs w:val="28"/>
        </w:rPr>
      </w:pPr>
      <w:bookmarkStart w:id="0" w:name="_GoBack"/>
      <w:bookmarkEnd w:id="0"/>
    </w:p>
    <w:p>
      <w:pPr>
        <w:spacing w:line="240" w:lineRule="auto"/>
        <w:rPr>
          <w:color w:val="auto"/>
          <w:sz w:val="28"/>
          <w:szCs w:val="28"/>
        </w:rPr>
      </w:pPr>
    </w:p>
    <w:sectPr>
      <w:footerReference r:id="rId3" w:type="default"/>
      <w:footerReference r:id="rId4" w:type="even"/>
      <w:pgSz w:w="11906" w:h="16838"/>
      <w:pgMar w:top="1134" w:right="1134" w:bottom="1134" w:left="1134" w:header="499" w:footer="499" w:gutter="0"/>
      <w:pgNumType w:fmt="decimal"/>
      <w:cols w:space="425" w:num="1" w:sep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rPr>
        <w:sz w:val="18"/>
      </w:rPr>
      <w:pict>
        <v:shape id="_x0000_s2049" o:spid="_x0000_s2049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>
          <v:path/>
          <v:fill on="f" focussize="0,0"/>
          <v:stroke on="f" joinstyle="miter"/>
          <v:imagedata o:title=""/>
          <o:lock v:ext="edit" aspectratio="f"/>
          <v:textbox inset="0mm,0mm,0mm,0mm" style="mso-fit-shape-to-text:t;">
            <w:txbxContent>
              <w:p>
                <w:pPr>
                  <w:pStyle w:val="2"/>
                  <w:rPr>
                    <w:rFonts w:hint="eastAsia" w:eastAsia="宋体"/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fldChar w:fldCharType="begin"/>
                </w:r>
                <w:r>
                  <w:rPr>
                    <w:rFonts w:hint="eastAsia"/>
                    <w:lang w:eastAsia="zh-CN"/>
                  </w:rPr>
                  <w:instrText xml:space="preserve"> PAGE  \* MERGEFORMAT </w:instrText>
                </w:r>
                <w:r>
                  <w:rPr>
                    <w:rFonts w:hint="eastAsia"/>
                    <w:lang w:eastAsia="zh-CN"/>
                  </w:rPr>
                  <w:fldChar w:fldCharType="separate"/>
                </w:r>
                <w:r>
                  <w:rPr>
                    <w:rFonts w:hint="eastAsia"/>
                    <w:lang w:eastAsia="zh-CN"/>
                  </w:rPr>
                  <w:t>1</w:t>
                </w:r>
                <w:r>
                  <w:rPr>
                    <w:rFonts w:hint="eastAsia"/>
                    <w:lang w:eastAsia="zh-CN"/>
                  </w:rPr>
                  <w:fldChar w:fldCharType="end"/>
                </w:r>
              </w:p>
            </w:txbxContent>
          </v:textbox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rPr>
        <w:rFonts w:hint="eastAsia"/>
      </w:rPr>
      <w:t>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6</w:instrText>
    </w:r>
    <w:r>
      <w:fldChar w:fldCharType="end"/>
    </w:r>
    <w:r>
      <w:instrText xml:space="preserve"> </w:instrText>
    </w:r>
    <w:r>
      <w:fldChar w:fldCharType="separate"/>
    </w:r>
    <w:r>
      <w:t>6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14</w:instrText>
    </w:r>
    <w:r>
      <w:fldChar w:fldCharType="end"/>
    </w:r>
    <w:r>
      <w:instrText xml:space="preserve"> </w:instrText>
    </w:r>
    <w:r>
      <w:fldChar w:fldCharType="separate"/>
    </w:r>
    <w:r>
      <w:t>14</w:t>
    </w:r>
    <w:r>
      <w:fldChar w:fldCharType="end"/>
    </w:r>
    <w:r>
      <w:rPr>
        <w:rFonts w:hint="eastAsia"/>
      </w:rPr>
      <w:t>页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20B359C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Cambria Math" w:hAnsi="宋体" w:eastAsia="宋体" w:cs="Cambria Math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2018-12-24T08:54:00Z</dcterms:created>
  <dc:creator>安与琪</dc:creator>
  <cp:lastModifiedBy>Administrator</cp:lastModifiedBy>
  <dcterms:modified xsi:type="dcterms:W3CDTF">2019-06-13T09:21:48Z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D5CDD505-2E9C-101B-9397-08002B2CF9AE}" pid="3" name="KSORubyTemplateID" linkTarget="0">
    <vt:lpwstr>6</vt:lpwstr>
  </property>
</Properties>
</file>