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480" w:lineRule="exact"/>
        <w:jc w:val="center"/>
        <w:rPr>
          <w:rFonts w:ascii="宋体" w:hAnsi="宋体" w:hint="eastAsia"/>
          <w:b/>
          <w:bCs w:val="0"/>
          <w:color w:val="000000"/>
          <w:sz w:val="32"/>
          <w:lang w:eastAsia="zh-CN"/>
        </w:rPr>
      </w:pPr>
      <w:r>
        <w:rPr>
          <w:rFonts w:ascii="宋体" w:hAnsi="宋体" w:hint="eastAsia"/>
          <w:b/>
          <w:bCs w:val="0"/>
          <w:color w:val="000000"/>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09pt;margin-top:944pt;mso-position-horizontal-relative:page;mso-position-vertical-relative:top-margin-area;position:absolute;width:20pt;z-index:251658240">
            <v:imagedata r:id="rId5" o:title=""/>
          </v:shape>
        </w:pict>
      </w:r>
      <w:r>
        <w:rPr>
          <w:rFonts w:ascii="宋体" w:hAnsi="宋体" w:hint="eastAsia"/>
          <w:b/>
          <w:bCs w:val="0"/>
          <w:color w:val="000000"/>
          <w:sz w:val="32"/>
        </w:rPr>
        <w:t>息县</w:t>
      </w:r>
      <w:r>
        <w:rPr>
          <w:rFonts w:ascii="宋体" w:hint="eastAsia"/>
          <w:b/>
          <w:bCs w:val="0"/>
          <w:color w:val="000000"/>
          <w:sz w:val="32"/>
          <w:lang w:eastAsia="zh-CN"/>
        </w:rPr>
        <w:t>高中</w:t>
      </w:r>
      <w:bookmarkStart w:id="0" w:name="_GoBack"/>
      <w:bookmarkEnd w:id="0"/>
      <w:r>
        <w:rPr>
          <w:rFonts w:ascii="宋体" w:hAnsi="宋体"/>
          <w:b/>
          <w:bCs w:val="0"/>
          <w:color w:val="000000"/>
          <w:sz w:val="32"/>
        </w:rPr>
        <w:t>2018</w:t>
      </w:r>
      <w:r>
        <w:rPr>
          <w:rFonts w:ascii="宋体" w:hAnsi="宋体" w:hint="eastAsia"/>
          <w:b/>
          <w:bCs w:val="0"/>
          <w:color w:val="000000"/>
          <w:sz w:val="32"/>
          <w:lang w:eastAsia="zh-CN"/>
        </w:rPr>
        <w:t>级高一</w:t>
      </w:r>
      <w:r>
        <w:rPr>
          <w:rFonts w:ascii="宋体" w:hAnsi="宋体"/>
          <w:b/>
          <w:bCs w:val="0"/>
          <w:color w:val="000000"/>
          <w:sz w:val="32"/>
        </w:rPr>
        <w:t>上期第</w:t>
      </w:r>
      <w:r>
        <w:rPr>
          <w:rFonts w:ascii="宋体" w:hint="eastAsia"/>
          <w:b/>
          <w:bCs w:val="0"/>
          <w:color w:val="000000"/>
          <w:sz w:val="32"/>
          <w:lang w:val="en-US" w:eastAsia="zh-CN"/>
        </w:rPr>
        <w:t>四</w:t>
      </w:r>
      <w:r>
        <w:rPr>
          <w:rFonts w:ascii="宋体" w:hAnsi="宋体"/>
          <w:b/>
          <w:bCs w:val="0"/>
          <w:color w:val="000000"/>
          <w:sz w:val="32"/>
        </w:rPr>
        <w:t>次</w:t>
      </w:r>
      <w:r>
        <w:rPr>
          <w:rFonts w:ascii="宋体" w:hAnsi="宋体" w:hint="eastAsia"/>
          <w:b/>
          <w:bCs w:val="0"/>
          <w:color w:val="000000"/>
          <w:sz w:val="32"/>
          <w:lang w:eastAsia="zh-CN"/>
        </w:rPr>
        <w:t>阶段性考试</w:t>
      </w:r>
    </w:p>
    <w:p>
      <w:pPr>
        <w:spacing w:line="480" w:lineRule="exact"/>
        <w:jc w:val="center"/>
        <w:rPr>
          <w:rFonts w:ascii="宋体" w:hint="eastAsia"/>
          <w:b/>
          <w:bCs w:val="0"/>
          <w:color w:val="000000"/>
          <w:sz w:val="32"/>
          <w:lang w:eastAsia="zh-CN"/>
        </w:rPr>
      </w:pPr>
      <w:r>
        <w:rPr>
          <w:rFonts w:ascii="宋体" w:hint="eastAsia"/>
          <w:b/>
          <w:bCs w:val="0"/>
          <w:color w:val="000000"/>
          <w:sz w:val="32"/>
          <w:lang w:val="en-US" w:eastAsia="zh-CN"/>
        </w:rPr>
        <w:t>政治试题</w:t>
      </w:r>
      <w:r>
        <w:rPr>
          <w:rFonts w:ascii="宋体" w:hAnsi="宋体" w:hint="eastAsia"/>
          <w:b/>
          <w:bCs w:val="0"/>
          <w:color w:val="000000"/>
          <w:sz w:val="32"/>
          <w:lang w:val="en-US" w:eastAsia="zh-CN"/>
        </w:rPr>
        <w:t>B</w:t>
      </w:r>
      <w:r>
        <w:rPr>
          <w:rFonts w:ascii="宋体" w:hAnsi="宋体" w:hint="eastAsia"/>
          <w:b/>
          <w:bCs w:val="0"/>
          <w:color w:val="000000"/>
          <w:sz w:val="32"/>
        </w:rPr>
        <w:t>卷</w:t>
      </w:r>
      <w:r>
        <w:rPr>
          <w:rFonts w:ascii="宋体" w:hint="eastAsia"/>
          <w:b/>
          <w:bCs w:val="0"/>
          <w:color w:val="000000"/>
          <w:sz w:val="32"/>
          <w:lang w:eastAsia="zh-CN"/>
        </w:rPr>
        <w:t>（</w:t>
      </w:r>
      <w:r>
        <w:rPr>
          <w:rFonts w:ascii="宋体" w:hint="eastAsia"/>
          <w:b/>
          <w:bCs w:val="0"/>
          <w:color w:val="000000"/>
          <w:sz w:val="32"/>
          <w:lang w:val="en-US" w:eastAsia="zh-CN"/>
        </w:rPr>
        <w:t>5-16班</w:t>
      </w:r>
      <w:r>
        <w:rPr>
          <w:rFonts w:ascii="宋体" w:hint="eastAsia"/>
          <w:b/>
          <w:bCs w:val="0"/>
          <w:color w:val="000000"/>
          <w:sz w:val="32"/>
          <w:lang w:eastAsia="zh-CN"/>
        </w:rPr>
        <w:t>）</w:t>
      </w:r>
    </w:p>
    <w:p>
      <w:pPr>
        <w:spacing w:line="480" w:lineRule="exact"/>
        <w:jc w:val="center"/>
        <w:rPr>
          <w:rFonts w:ascii="宋体" w:hint="eastAsia"/>
          <w:b/>
          <w:bCs w:val="0"/>
          <w:color w:val="000000"/>
          <w:sz w:val="28"/>
          <w:szCs w:val="28"/>
          <w:lang w:val="en-US" w:eastAsia="zh-CN"/>
        </w:rPr>
      </w:pPr>
    </w:p>
    <w:p>
      <w:pPr>
        <w:numPr>
          <w:ilvl w:val="0"/>
          <w:numId w:val="1"/>
        </w:numPr>
        <w:textAlignment w:val="center"/>
        <w:rPr>
          <w:rFonts w:ascii="宋体" w:cs="宋体" w:hint="eastAsia"/>
          <w:szCs w:val="21"/>
        </w:rPr>
      </w:pPr>
      <w:r>
        <w:rPr>
          <w:rFonts w:ascii="宋体" w:cs="宋体" w:hint="eastAsia"/>
          <w:szCs w:val="21"/>
        </w:rPr>
        <w:t>选择题（本大题共</w:t>
      </w:r>
      <w:r>
        <w:rPr>
          <w:rFonts w:ascii="宋体" w:cs="宋体" w:hint="eastAsia"/>
          <w:szCs w:val="21"/>
          <w:lang w:val="en-US" w:eastAsia="zh-CN"/>
        </w:rPr>
        <w:t>3</w:t>
      </w:r>
      <w:r>
        <w:rPr>
          <w:rFonts w:ascii="宋体" w:cs="Times New Roman"/>
          <w:b/>
          <w:szCs w:val="21"/>
        </w:rPr>
        <w:t>0</w:t>
      </w:r>
      <w:r>
        <w:rPr>
          <w:rFonts w:ascii="宋体" w:cs="宋体" w:hint="eastAsia"/>
          <w:szCs w:val="21"/>
        </w:rPr>
        <w:t>小题</w:t>
      </w:r>
      <w:r>
        <w:rPr>
          <w:rFonts w:ascii="宋体" w:cs="宋体" w:hint="eastAsia"/>
          <w:szCs w:val="21"/>
          <w:lang w:eastAsia="zh-CN"/>
        </w:rPr>
        <w:t>，</w:t>
      </w:r>
      <w:r>
        <w:rPr>
          <w:rFonts w:ascii="宋体" w:cs="宋体" w:hint="eastAsia"/>
          <w:szCs w:val="21"/>
          <w:lang w:val="en-US" w:eastAsia="zh-CN"/>
        </w:rPr>
        <w:t>每题2分，共60分</w:t>
      </w:r>
      <w:r>
        <w:rPr>
          <w:rFonts w:ascii="宋体" w:cs="宋体" w:hint="eastAsia"/>
          <w:szCs w:val="21"/>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1.斯密认为，商品的价值是由商品在交换中所能购买到的劳动量决定的。这一观点（  ）。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 正确地揭示了价值的源泉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drawing>
          <wp:inline distT="0" distB="0" distL="114300" distR="114300">
            <wp:extent cx="9525" cy="38100"/>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xmlns:r="http://schemas.openxmlformats.org/officeDocument/2006/relationships" r:embed="rId6"/>
                    <a:stretch>
                      <a:fillRect/>
                    </a:stretch>
                  </pic:blipFill>
                  <pic:spPr>
                    <a:xfrm>
                      <a:off x="0" y="0"/>
                      <a:ext cx="9525" cy="38100"/>
                    </a:xfrm>
                    <a:prstGeom prst="rect">
                      <a:avLst/>
                    </a:prstGeom>
                    <a:noFill/>
                    <a:ln w="9525">
                      <a:noFill/>
                    </a:ln>
                  </pic:spPr>
                </pic:pic>
              </a:graphicData>
            </a:graphic>
          </wp:inline>
        </w:drawing>
      </w:r>
      <w:r>
        <w:rPr>
          <w:rFonts w:ascii="宋体" w:cs="宋体" w:hint="eastAsia"/>
          <w:b w:val="0"/>
          <w:i w:val="0"/>
          <w:caps w:val="0"/>
          <w:color w:val="333333"/>
          <w:spacing w:val="8"/>
          <w:sz w:val="21"/>
          <w:szCs w:val="21"/>
          <w:shd w:val="clear" w:color="auto" w:fill="FFFFFF"/>
          <w:lang w:val="en-US" w:eastAsia="zh-CN"/>
        </w:rPr>
        <w:t>B. 正确地揭示了价值与交换价值的关系</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C. 颠倒了价值与交换价值的关系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drawing>
          <wp:inline distT="0" distB="0" distL="114300" distR="114300">
            <wp:extent cx="9525" cy="3810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xmlns:r="http://schemas.openxmlformats.org/officeDocument/2006/relationships" r:embed="rId6"/>
                    <a:stretch>
                      <a:fillRect/>
                    </a:stretch>
                  </pic:blipFill>
                  <pic:spPr>
                    <a:xfrm>
                      <a:off x="0" y="0"/>
                      <a:ext cx="9525" cy="38100"/>
                    </a:xfrm>
                    <a:prstGeom prst="rect">
                      <a:avLst/>
                    </a:prstGeom>
                    <a:noFill/>
                    <a:ln w="9525">
                      <a:noFill/>
                    </a:ln>
                  </pic:spPr>
                </pic:pic>
              </a:graphicData>
            </a:graphic>
          </wp:inline>
        </w:drawing>
      </w:r>
      <w:r>
        <w:rPr>
          <w:rFonts w:ascii="宋体" w:cs="宋体" w:hint="eastAsia"/>
          <w:b w:val="0"/>
          <w:i w:val="0"/>
          <w:caps w:val="0"/>
          <w:color w:val="333333"/>
          <w:spacing w:val="8"/>
          <w:sz w:val="21"/>
          <w:szCs w:val="21"/>
          <w:shd w:val="clear" w:color="auto" w:fill="FFFFFF"/>
          <w:lang w:val="en-US" w:eastAsia="zh-CN"/>
        </w:rPr>
        <w:t>D. 掩盖了无产阶级与资产阶级之间的经济关系</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2.信报名方式“奉献”出自己的车位一整天，停车人只需贡献出后备箱，以供摆放工艺品等各种小物件，便于人们直接换取还有用处的东西，满足换客们的交易需要。材料反映的这种交易行为（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①是社会发展催生的新的商品流通形式</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②能够充分实现物品的多元使用价值</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③使换客同时兼得了商品的使用价值和价值</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④本质上是在交换无差别的人类劳动</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B.①③           C.②④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3.2017年国庆节期间，大学生小杨花3000元购买了一台标价为3788元的华为手机，采取分期付款方式，首付1200元，剩余钱款分12个月付清，每月付150元。材料中的“3000元”“3788元”“1200元”“150元”体现的货币职能分别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A．支付手段、价值尺度、流通手段、支付手段</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B．流通手段、价值尺度、价值尺度、支付手段</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C．价值尺度、流通手段、支付手段、流通手段</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D．流通手段、价值尺度、流通手段、支付手段</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4.华为、中兴等企业不断加大研发投入，以优异的生产经营效能和绩效，不断提高劳动生产率，取得了在全球同行业供给和需求变革的主动权。下列推导能正确反映企业提高劳动生产率意义的是（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①商品价值总量增加    ②单位商品价值量减少</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 xml:space="preserve">③个别劳动时间缩短    ④竞争中处于有利地位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left"/>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A.③→②→④      B.②→①→③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left"/>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C.③→④→①        D.③→①→④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5.2017年，中国人民银行推动的基于区块链的数字票据交易平台已测试成功，由中国人民银行发行的法定数字货币已在该平台试运行，中国将成为首个发行数字货币并开展实际应用的国家。未来的数字货币（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①本质上是一般等价物    ②具有价值尺度、商品流通的职能</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③能够充当商品交换的媒介    ④供应量仍以流通中需要的货币量为限度</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A.③④     B. ①②    C.①④   D.②③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6.假设某国2013年的商品价格总额为18万亿元，流通中需要的货币量为3万亿元。若2014年该国劳动生产率提高20%，货币流通速度下降20%，若商品价格水平不变，2014年流通中需要的货币量为（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A.3.6万亿元    B.3.75万亿元    </w:t>
      </w:r>
      <w:r>
        <w:rPr>
          <w:rFonts w:ascii="宋体" w:cs="宋体" w:hint="eastAsia"/>
          <w:b w:val="0"/>
          <w:i w:val="0"/>
          <w:caps w:val="0"/>
          <w:color w:val="333333"/>
          <w:spacing w:val="8"/>
          <w:sz w:val="21"/>
          <w:szCs w:val="21"/>
          <w:shd w:val="clear" w:color="auto" w:fill="FFFFFF"/>
          <w:lang w:val="en-US" w:eastAsia="zh-CN"/>
        </w:rPr>
        <w:drawing>
          <wp:inline distT="0" distB="0" distL="114300" distR="114300">
            <wp:extent cx="9525" cy="3810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xmlns:r="http://schemas.openxmlformats.org/officeDocument/2006/relationships" r:embed="rId6"/>
                    <a:stretch>
                      <a:fillRect/>
                    </a:stretch>
                  </pic:blipFill>
                  <pic:spPr>
                    <a:xfrm>
                      <a:off x="0" y="0"/>
                      <a:ext cx="9525" cy="38100"/>
                    </a:xfrm>
                    <a:prstGeom prst="rect">
                      <a:avLst/>
                    </a:prstGeom>
                    <a:noFill/>
                    <a:ln w="9525">
                      <a:noFill/>
                    </a:ln>
                  </pic:spPr>
                </pic:pic>
              </a:graphicData>
            </a:graphic>
          </wp:inline>
        </w:drawing>
      </w:r>
      <w:r>
        <w:rPr>
          <w:rFonts w:ascii="宋体" w:cs="宋体" w:hint="eastAsia"/>
          <w:b w:val="0"/>
          <w:i w:val="0"/>
          <w:caps w:val="0"/>
          <w:color w:val="333333"/>
          <w:spacing w:val="8"/>
          <w:sz w:val="21"/>
          <w:szCs w:val="21"/>
          <w:shd w:val="clear" w:color="auto" w:fill="FFFFFF"/>
          <w:lang w:val="en-US" w:eastAsia="zh-CN"/>
        </w:rPr>
        <w:t>C.4.5万亿元    D.3万亿元</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7．2017年9月6日，银行卡刷卡手续费调整正式实施。调整后，餐饮等行业商户贷记卡、借记卡交易的发卡行服务费、网络服务费合计可降低53%～63%，银行卡刷卡手续费主要是收单机构收取的收单服务费、发卡机构收取的发卡行服务费和银行卡清算机构收取的网络服务费，不向持卡消费者收取。降低银行卡刷卡手续费(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①将影响商业银行的基础业务收入　         ②将直接降低商户的经营成本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③有利于消费者获得更好的刷卡消费体验     ④将直接减少消费者的购物支出</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A．①③         B．①④         C．②④</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D．②③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8.2017年11月30日，1欧元兑人民币7．3213元，而2017年12月6日，1欧元兑人民币为7．3832元，而此时汇率变动是有人欢喜有人愁，下列认识符合这次汇率变动的影响的是（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①旅行社赴欧洲旅游线路团费报价上涨</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②对外劳务输出公司对去欧洲务工的人来说，就等于涨工资了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③留学生赴欧洲留学成本将减少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④海关欧洲对我国出口将增加</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B.②④     C.③④    D.②③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9.对“花明天的钱，圆今天的梦”的消费观的正确认识是（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A.符合时代消费方向，应成为每一位消费者追求的目标</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B.否定了艰苦奋斗的传统美德，应加强对这一消费群体的教育</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C.在预期收入稳定或允许的条件下，应大力提倡和鼓励</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D.对青年人有这种认识应鼓励，对老年人有这种认识应批判</w:t>
      </w:r>
      <w:bookmarkStart w:id="1" w:name="topic_02c44e2d-5d3e-402d-af40-b403d119fb"/>
      <w:bookmarkEnd w:id="1"/>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2" w:name="topic_db8822ce-41ef-4fe6-a123-58f7b47944"/>
      <w:bookmarkEnd w:id="2"/>
      <w:r>
        <w:rPr>
          <w:rFonts w:ascii="宋体" w:cs="宋体" w:hint="eastAsia"/>
          <w:b w:val="0"/>
          <w:i w:val="0"/>
          <w:caps w:val="0"/>
          <w:color w:val="333333"/>
          <w:spacing w:val="8"/>
          <w:sz w:val="21"/>
          <w:szCs w:val="21"/>
          <w:shd w:val="clear" w:color="auto" w:fill="FFFFFF"/>
          <w:lang w:val="en-US" w:eastAsia="zh-CN"/>
        </w:rPr>
        <w:t>10.对非公有制经济的现实地位，习近平用“三个没有变”作了明确表述：非公有制经济在我国经济社会发展中的地位和作用没有变，我们鼓励、支持、引导非公有制经济发展的方针政策没有变，我们致力于为非公有制经济发展营造良好环境和提供更多机会的方针政策没有变。国家重视非公制经济的发展，是因为（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①公有制经济与非公制经济在国民经济中的地位是平等的</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②非公有制经济有利于支撑经济增长、促进创新、扩大就业、增加税收</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③公有制和非公有制经济都是社会主义市场经济的重要组成部分</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④非公有制经济是我国社会主义经济制度的基础</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 ①②    B.①④</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C.②③</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D.③</w:t>
      </w:r>
      <w:bookmarkStart w:id="3" w:name="topic_af330b4a-e42f-4f47-bbe5-d5daccda2e"/>
      <w:bookmarkEnd w:id="3"/>
      <w:r>
        <w:rPr>
          <w:rFonts w:ascii="宋体" w:cs="宋体" w:hint="eastAsia"/>
          <w:b w:val="0"/>
          <w:i w:val="0"/>
          <w:caps w:val="0"/>
          <w:color w:val="333333"/>
          <w:spacing w:val="8"/>
          <w:sz w:val="21"/>
          <w:szCs w:val="21"/>
          <w:shd w:val="clear" w:color="auto" w:fill="FFFFFF"/>
          <w:lang w:val="en-US" w:eastAsia="zh-CN"/>
        </w:rPr>
        <w:t>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4" w:name="topic_cfc7c77c-0c47-4d10-b60e-1141f90b86"/>
      <w:bookmarkEnd w:id="4"/>
      <w:r>
        <w:rPr>
          <w:rFonts w:ascii="宋体" w:cs="宋体" w:hint="eastAsia"/>
          <w:b w:val="0"/>
          <w:i w:val="0"/>
          <w:caps w:val="0"/>
          <w:color w:val="333333"/>
          <w:spacing w:val="8"/>
          <w:sz w:val="21"/>
          <w:szCs w:val="21"/>
          <w:shd w:val="clear" w:color="auto" w:fill="FFFFFF"/>
          <w:lang w:val="en-US" w:eastAsia="zh-CN"/>
        </w:rPr>
        <w:t>11.近年来，受全国城乡居民收人不断提高的拉动，消费日渐成为中国经济增长中相对稳定的力量。这说明（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①生产是消费的最终目的</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②消费水平主要受居民收入的影响</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③居民收入水平是影响消费水平的根本因素</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④消费可以反作用于生产。</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A.①②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B. ①③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C.②④</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D.③④</w:t>
      </w:r>
      <w:bookmarkStart w:id="5" w:name="topic_5d0ba230-28a6-4fb5-8a0a-4ca345d545"/>
      <w:bookmarkEnd w:id="5"/>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6" w:name="topic_91d4a480-5f11-44da-ad60-05132f753f"/>
      <w:bookmarkEnd w:id="6"/>
      <w:r>
        <w:rPr>
          <w:rFonts w:ascii="宋体" w:cs="宋体" w:hint="eastAsia"/>
          <w:b w:val="0"/>
          <w:i w:val="0"/>
          <w:caps w:val="0"/>
          <w:color w:val="333333"/>
          <w:spacing w:val="8"/>
          <w:sz w:val="21"/>
          <w:szCs w:val="21"/>
          <w:shd w:val="clear" w:color="auto" w:fill="FFFFFF"/>
          <w:lang w:val="en-US" w:eastAsia="zh-CN"/>
        </w:rPr>
        <w:t>12.2018年政府工作报告中明确提出要在医疗领域推进“互联网+”进程。移动互联网医疗是指利用移动终端和以互联网为载体，开展健康咨询、疾病评估、挂号缴费等医疗健康服务的新兴行业，因其成本低廉、使用便利、服务市场前景可观，正呈现出新产业的曙光。移动互联网医疗的出现将（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①改变消费方式，提高消费质量</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②创造消费动力，引发消费热潮</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③推动管理创新，提高企业利润</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④促进产业升级，扩大企业规模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A.①②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B.①③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C.②④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7" w:name="topic_57dbb8d6-0302-4cc4-b803-00159c0920"/>
      <w:bookmarkEnd w:id="7"/>
      <w:r>
        <w:rPr>
          <w:rFonts w:ascii="宋体" w:cs="宋体" w:hint="eastAsia"/>
          <w:b w:val="0"/>
          <w:i w:val="0"/>
          <w:caps w:val="0"/>
          <w:color w:val="333333"/>
          <w:spacing w:val="8"/>
          <w:sz w:val="21"/>
          <w:szCs w:val="21"/>
          <w:shd w:val="clear" w:color="auto" w:fill="FFFFFF"/>
          <w:lang w:val="en-US" w:eastAsia="zh-CN"/>
        </w:rPr>
        <w:t>13.有人把我国实施“菜篮子”工程的成功经验概括为：要想填满“菜篮子”，必须搞好“菜园子”和“菜摊子”。这是因为（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①消费是生产和交换的前提和基础</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②交换是连接生产和消费的桥粱和纽带</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③消费是物质资料生产总过程的最终目的和动力</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④直接生产过程是在社会再生产过程中起决定作用的环节。</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A.①③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B.②④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C.③④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D.①②</w:t>
      </w:r>
      <w:bookmarkStart w:id="8" w:name="topic_de4ec5cd-ac28-4f96-adde-17e369fa13"/>
      <w:bookmarkEnd w:id="8"/>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9" w:name="topic_546895d9-4781-468d-b10c-364d2c447d"/>
      <w:bookmarkEnd w:id="9"/>
      <w:r>
        <w:rPr>
          <w:rFonts w:ascii="宋体" w:cs="宋体" w:hint="eastAsia"/>
          <w:b w:val="0"/>
          <w:i w:val="0"/>
          <w:caps w:val="0"/>
          <w:color w:val="333333"/>
          <w:spacing w:val="8"/>
          <w:sz w:val="21"/>
          <w:szCs w:val="21"/>
          <w:shd w:val="clear" w:color="auto" w:fill="FFFFFF"/>
          <w:lang w:val="en-US" w:eastAsia="zh-CN"/>
        </w:rPr>
        <w:t>14.在接受某媒体关于“你幸福吗”为主题的采访时，某农民工说：“只有正式工才幸福吧。我们这些临时工，每月工资只有900，节假日要加班，没有养老保险、医疗保险，即使这样，因为没有合同，还不知道明天能不能干下去呢。”这启示我们（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①维护劳动者合法权益必须建立健全社会保障制度</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②自觉履行劳动义务是维护劳动者合法权益的重要保证</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③企业应努力建立和谐劳动关系，维护劳动者合法权益</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④劳动者维权的唯一途径是向人民法院起诉用人单位。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A.①②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B.①③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C.②④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D.③④</w:t>
      </w:r>
      <w:bookmarkStart w:id="10" w:name="topic_16dd67f9-2824-4c82-93ac-835a7850d7"/>
      <w:bookmarkEnd w:id="10"/>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11" w:name="topic_3a6b6e4f-d0a6-4707-8227-4b930fa27e"/>
      <w:bookmarkEnd w:id="11"/>
      <w:r>
        <w:rPr>
          <w:rFonts w:ascii="宋体" w:cs="宋体" w:hint="eastAsia"/>
          <w:b w:val="0"/>
          <w:i w:val="0"/>
          <w:caps w:val="0"/>
          <w:color w:val="333333"/>
          <w:spacing w:val="8"/>
          <w:sz w:val="21"/>
          <w:szCs w:val="21"/>
          <w:shd w:val="clear" w:color="auto" w:fill="FFFFFF"/>
          <w:lang w:val="en-US" w:eastAsia="zh-CN"/>
        </w:rPr>
        <w:t>15.2017年政府工作报告中提出，要深入实施《中国制造2025》规划，加快大数据、云计算、物联网的应用，以新技术、新业态、新模式推动传统产业生产、管理和营销模式变革。这要求 (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 xml:space="preserve">①政府把发展智能制造作为主攻方向，成为“中国制造2025”的主角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 xml:space="preserve">②企业抓住“互联网+”带来的新机遇，实现产品结构优化升级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 xml:space="preserve">③企业通过发行国债募集发展资金，提高创新能力取得竞争优势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④政府积极履行经济建设职能，完善促进制造业发展的政策体系</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A.①②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B.①③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C.②④</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12" w:name="topic_988fd803-c2a1-40a2-8aad-88a5a77c2c"/>
      <w:bookmarkEnd w:id="12"/>
      <w:r>
        <w:rPr>
          <w:rFonts w:ascii="宋体" w:cs="宋体" w:hint="eastAsia"/>
          <w:b w:val="0"/>
          <w:i w:val="0"/>
          <w:caps w:val="0"/>
          <w:color w:val="333333"/>
          <w:spacing w:val="8"/>
          <w:sz w:val="21"/>
          <w:szCs w:val="21"/>
          <w:shd w:val="clear" w:color="auto" w:fill="FFFFFF"/>
          <w:lang w:val="en-US" w:eastAsia="zh-CN"/>
        </w:rPr>
        <w:t>16.僵尸企业主要是指那些无望恢复生气，但是由于获得放贷者或者政府的支持，而免于倒闭的负债企业。深化国企改革的过程中，加快淘汰商业竞争领域的“僵尸国企”（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①要遵循市场规律，鼓励兼并重组</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②不利于国有经济整体功能的实现</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③可能会影响国有经济主导作用的发挥</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④有利于化解产能过剩，提升产业竞争力。</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A.①②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B.②③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C.②④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D.①④</w:t>
      </w:r>
      <w:bookmarkStart w:id="13" w:name="topic_49babe37-df26-4369-a219-e1a0842b13"/>
      <w:bookmarkEnd w:id="13"/>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14" w:name="topic_0d2ca4dd-9dcf-4a2b-951e-a718f2097f"/>
      <w:bookmarkEnd w:id="14"/>
      <w:r>
        <w:rPr>
          <w:rFonts w:ascii="宋体" w:cs="宋体" w:hint="eastAsia"/>
          <w:b w:val="0"/>
          <w:i w:val="0"/>
          <w:caps w:val="0"/>
          <w:color w:val="333333"/>
          <w:spacing w:val="8"/>
          <w:sz w:val="21"/>
          <w:szCs w:val="21"/>
          <w:shd w:val="clear" w:color="auto" w:fill="FFFFFF"/>
          <w:lang w:val="en-US" w:eastAsia="zh-CN"/>
        </w:rPr>
        <w:t>17.当前，中国经济已由高速增长阶段转向高质量发展阶段，其主要内涵，就是从总量扩张向结构优化转变，就是从“有没有”向“好不好”转变。而高质量发展是做大就业蛋糕的关键，下列符合这一传导过程的有（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①刺激居民消费需求→扩大生产规模→增加就业岗位</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②调优农村产业结构→促进农村发展→吸引返乡创业</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③发展“互联网+”→培育新型业态→增加就业容量</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④推进服务领域开放→发展服务贸易→推动人才出口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A.①②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B.①④</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C.②③</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15" w:name="topic_980c3614-7e3e-4a20-9862-b0bd03a9c6"/>
      <w:bookmarkEnd w:id="15"/>
      <w:r>
        <w:rPr>
          <w:rFonts w:ascii="宋体" w:cs="宋体" w:hint="eastAsia"/>
          <w:b w:val="0"/>
          <w:i w:val="0"/>
          <w:caps w:val="0"/>
          <w:color w:val="333333"/>
          <w:spacing w:val="8"/>
          <w:sz w:val="21"/>
          <w:szCs w:val="21"/>
          <w:shd w:val="clear" w:color="auto" w:fill="FFFFFF"/>
          <w:lang w:val="en-US" w:eastAsia="zh-CN"/>
        </w:rPr>
        <w:t>18.2017年8月18日至21日，第18届中国绿色食品博览会，在内蒙古包头市举行，本届绿博会以“绿色理念、绿色生产、绿色消费”为主题，吸引全国近两千家“三品一标”优质企业，上万个特色产品参展。不同收入水平下人们的绿色消费倾向和不同经济发展水平下企业的绿色生产倾向有不同的表现。这体现的二者关系正确的是（　　）</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①人们的绿色消费倾向对企业生产的调整和升级起着导向作用</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②生产对消费的调整和升级起导向作用</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③收入是消费升级的前提和基础</w:t>
      </w:r>
      <w:r>
        <w:rPr>
          <w:rFonts w:ascii="宋体" w:cs="宋体" w:hint="eastAsia"/>
          <w:b w:val="0"/>
          <w:i w:val="0"/>
          <w:caps w:val="0"/>
          <w:color w:val="333333"/>
          <w:spacing w:val="8"/>
          <w:sz w:val="21"/>
          <w:szCs w:val="21"/>
          <w:shd w:val="clear" w:color="auto" w:fill="FFFFFF"/>
          <w:lang w:val="en-US" w:eastAsia="zh-CN"/>
        </w:rPr>
        <w:br/>
      </w:r>
      <w:r>
        <w:rPr>
          <w:rFonts w:ascii="宋体" w:cs="宋体" w:hint="eastAsia"/>
          <w:b w:val="0"/>
          <w:i w:val="0"/>
          <w:caps w:val="0"/>
          <w:color w:val="333333"/>
          <w:spacing w:val="8"/>
          <w:sz w:val="21"/>
          <w:szCs w:val="21"/>
          <w:shd w:val="clear" w:color="auto" w:fill="FFFFFF"/>
          <w:lang w:val="en-US" w:eastAsia="zh-CN"/>
        </w:rPr>
        <w:t>④消费决定生产的方式。</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A.①③</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B.②③</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C.②④ </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D.③④</w:t>
      </w:r>
      <w:bookmarkStart w:id="16" w:name="topic_a1578297-f388-4bcd-98ff-859e40d9e1"/>
      <w:bookmarkEnd w:id="16"/>
      <w:bookmarkStart w:id="17" w:name="topic_ac817cc3-8046-4513-833a-d28f247238"/>
      <w:bookmarkEnd w:id="17"/>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18" w:name="topic_acf5a685-c1f1-403a-a4ef-e0073ff8a0"/>
      <w:bookmarkEnd w:id="18"/>
      <w:r>
        <w:rPr>
          <w:rFonts w:ascii="宋体" w:cs="宋体" w:hint="eastAsia"/>
          <w:b w:val="0"/>
          <w:i w:val="0"/>
          <w:caps w:val="0"/>
          <w:color w:val="333333"/>
          <w:spacing w:val="8"/>
          <w:sz w:val="21"/>
          <w:szCs w:val="21"/>
          <w:shd w:val="clear" w:color="auto" w:fill="FFFFFF"/>
          <w:lang w:val="en-US" w:eastAsia="zh-CN"/>
        </w:rPr>
        <w:t>19.某投资者用10万元的资产（其中负债8万，自有资金2万）投资某只股票，年初以50元价格购进，在6月的最后一个交易日以55元卖出。不考虑其他因素，该投资者的年收益率和自有资金的年收益率分别是（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A.10%；20%</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B.10%；50%</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C.20%；100%</w:t>
      </w:r>
      <w:r>
        <w:rPr>
          <w:rFonts w:ascii="宋体" w:cs="宋体" w:hint="eastAsia"/>
          <w:b w:val="0"/>
          <w:i w:val="0"/>
          <w:caps w:val="0"/>
          <w:color w:val="333333"/>
          <w:spacing w:val="8"/>
          <w:sz w:val="21"/>
          <w:szCs w:val="21"/>
          <w:shd w:val="clear" w:color="auto" w:fill="FFFFFF"/>
          <w:lang w:val="en-US" w:eastAsia="zh-CN"/>
        </w:rPr>
        <w:tab/>
      </w:r>
      <w:r>
        <w:rPr>
          <w:rFonts w:ascii="宋体" w:cs="宋体" w:hint="eastAsia"/>
          <w:b w:val="0"/>
          <w:i w:val="0"/>
          <w:caps w:val="0"/>
          <w:color w:val="333333"/>
          <w:spacing w:val="8"/>
          <w:sz w:val="21"/>
          <w:szCs w:val="21"/>
          <w:shd w:val="clear" w:color="auto" w:fill="FFFFFF"/>
          <w:lang w:val="en-US" w:eastAsia="zh-CN"/>
        </w:rPr>
        <w:t xml:space="preserve"> D.20%；200%</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bookmarkStart w:id="19" w:name="topic_3a70bd44-98fa-4dca-8ac4-128e463afc"/>
      <w:bookmarkEnd w:id="19"/>
      <w:r>
        <w:rPr>
          <w:rFonts w:ascii="宋体" w:cs="宋体" w:hint="eastAsia"/>
          <w:b w:val="0"/>
          <w:i w:val="0"/>
          <w:caps w:val="0"/>
          <w:color w:val="333333"/>
          <w:spacing w:val="8"/>
          <w:sz w:val="21"/>
          <w:szCs w:val="21"/>
          <w:shd w:val="clear" w:color="auto" w:fill="FFFFFF"/>
          <w:lang w:val="en-US" w:eastAsia="zh-CN"/>
        </w:rPr>
        <w:t>20.某国是全球最大的钢铁进口国，2018年3月该国决定将进口钢铁关税大幅度提高至25%。不考虑其他因素，短期内上调关税对该国钢铁制成品消费的影响路径是(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 xml:space="preserve">①钢铁进口成本上升     ②国家关税收入增加   ③钢铁制成品价格上涨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④钢铁企业利润增加    ⑤消费者的利益受损   ⑥消费者的利益增加</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A.①→③→⑤  B.②→④→⑥   C.①→②→④   D.②→③→④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21.现阶段我国实行按劳分配为主体、多种分配方式并存的分配制度，下列说法正确的是(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①企业里工人的工资收入属于按劳分配所得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②公有制经济中职工的收入属于按劳分配所得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③工程师提供新技术获得的收入属于按生产要素分配所得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④农民转让土地承包经营权获得的收入属于按生产要素分配所得</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B.①④    C.②③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22.个人所得税是国家对个人所得征收的一种税。提高个人所得税起征点，能够(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①促进杜会公平，改善人民生活②加快形成合理有序的收入分配格局</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③增加就业，提高社会保障水平④提高劳动报酬在初次分配中的比重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B.①③   C.②④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23.股票期权是上市公司给予企业高级管理人员和技术骨干的一种权利。这些人员可以在一定期限内以事先约定的价格购买公司股票，当股票价格上涨时，其将获得更多收益。对企业而言，这种激励方式(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①创新了企业内部组织结构，能够显著降低企业生产成本</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②将贡献和收入紧密相连，有利于调动骨干员工的积极性</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③实现了初次分配与再分配的统一，有利于促进收入分配公平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④使骨干员工和企业发展紧密结合，实现利益共享、风险共担</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B.①③   C.②④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24.2018年我国继“营改增”之后，又把增值税降低一个百分点。这样做发挥作用的传导路径是(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①降低企业成本      ②缓解经济下行压力</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③推动大众创业万众创新④促进经济转型升级</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A.④-①-②-③  B.①-④-③-②  C.③-②-①-④ D.①-③-④-②</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25.2018年3月，中共中央办公厅、国务院办公厅印发《关于提高技术工人待遇的意见》，指导企业深化工资分配制度改革，建立基于岗位价值、能力素质、业绩贡献的工资分配机制，强化工资收入分配的技能价值激励导向。落实这一政策有利于(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①贯彻我国的按劳分配原则，健全再分配制度</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②提高技术工人生产积极性，助推产业转型升级</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③实现技高者多得、多劳者多得，增强技术工人获得感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④快速解决技术工人短缺问题，优化劳动力供给结构</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①②    B.①④   C.②③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26.张某是一家国有企业的技术人员，2012年工资收入为35000元，奖金9000元，个人专利转让收入5000元；其妻开一家个体杂货店，年收入16000元；出租房子，年收入5000元。2012年张某一家按劳动分配收入和按生产要素分配收入分别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A.44000元  10000元       B.35000元  19000元</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C.49000元  21000元       D.44000元  26000元</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27.税制改革是深化改革的重要内容之一，而结构性减税将扮演十分重要的角色。下列结构性减税对经济影响的传导中，正确的是(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①提高个人所得税起征点→减轻居民税收负担→减少国家财政收入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②推进资源税改革→提高资源开采和使用成本→促进资源节约和环境保护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③健全和完善个人所得税制度→调节收入分配→促进社会公平</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④营业税改增值税→国家财政收入增加→经济持续健康发展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B.①③    C.②③    D.②④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28、财政部规定，在2017年12月31日前，对年应纳税所得额低于20万元(含20万元)的小型微利企业，其所得减按50%计入应纳税所得额，按20%的税率缴纳企业所得税，如果还是国家高新技术企业，则按15%的税率征收企业所得税。此举有利于(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①防止前一生产经营环节企业的偷漏税行为②减轻小微企业的纳税负担，推动大众创业</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③积极推进我国经济结构的战略调整和优化④发挥市场调节在资源配置中的决定性作用</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A.①③    B.①④    C.②③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29.2017年6月，《人民日报》载文指出，合理的收入差距能激发劳动者提高效率，不合理的收入差距则可能激化矛盾。现实中，不同行业之间、不同群体之间、高管与员工之间的收入差距仍然偏大，常引发热议。针对收入差距过大的问题，可采取的合理措施是(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①提高劳动报酬在再分配中的比重②打破垄断，促进行业公平竞争</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③健全生产要素按贡献参与分配的制度④完善农村社会保障体系</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A.①②    B.①③    C.②④    D.③④</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30.村民李某算了一笔账：自家有10亩地，以前以种小麦、玉米为主，遇到好年景，年纯收入也就1万元。2017年，李某以入股的方式将土地流转给一家农业科技有限公司，成为该公司的股东与员工。年底，李某获得了每亩800元的租金，领取了10%的分红和每月1500元的工资，收入非常可观。下列对此经济现象认识正确的有(    )</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①土地流转后，李某该年获得的所有收入都属于按劳分配取得的收入</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②土地所有权从此转移到农业科技有限公司，提高了土地的使用效率</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③公司经营有风险，李某的收入受农业科技有限公司经营状况的影响</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b w:val="0"/>
          <w:i w:val="0"/>
          <w:caps w:val="0"/>
          <w:color w:val="333333"/>
          <w:spacing w:val="8"/>
          <w:sz w:val="21"/>
          <w:szCs w:val="21"/>
          <w:shd w:val="clear" w:color="auto" w:fill="FFFFFF"/>
          <w:lang w:val="en-US" w:eastAsia="zh-CN"/>
        </w:rPr>
      </w:pPr>
      <w:r>
        <w:rPr>
          <w:rFonts w:ascii="宋体" w:cs="宋体" w:hint="eastAsia"/>
          <w:b w:val="0"/>
          <w:i w:val="0"/>
          <w:caps w:val="0"/>
          <w:color w:val="333333"/>
          <w:spacing w:val="8"/>
          <w:sz w:val="21"/>
          <w:szCs w:val="21"/>
          <w:shd w:val="clear" w:color="auto" w:fill="FFFFFF"/>
          <w:lang w:val="en-US" w:eastAsia="zh-CN"/>
        </w:rPr>
        <w:t>④土地流转有利于调整农业生产关系，增加农民收入和促进农业发展</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right="0" w:firstLine="0"/>
        <w:jc w:val="both"/>
        <w:textAlignment w:val="auto"/>
        <w:rPr>
          <w:rFonts w:ascii="宋体" w:cs="宋体" w:hint="eastAsia"/>
          <w:szCs w:val="21"/>
        </w:rPr>
      </w:pPr>
      <w:r>
        <w:rPr>
          <w:rFonts w:ascii="宋体" w:cs="宋体" w:hint="eastAsia"/>
          <w:b w:val="0"/>
          <w:i w:val="0"/>
          <w:caps w:val="0"/>
          <w:color w:val="333333"/>
          <w:spacing w:val="8"/>
          <w:sz w:val="21"/>
          <w:szCs w:val="21"/>
          <w:shd w:val="clear" w:color="auto" w:fill="FFFFFF"/>
          <w:lang w:val="en-US" w:eastAsia="zh-CN"/>
        </w:rPr>
        <w:t>A.①②    B.①④    C.②③    D.③④</w:t>
      </w:r>
    </w:p>
    <w:p>
      <w:pPr>
        <w:numPr>
          <w:ilvl w:val="0"/>
          <w:numId w:val="1"/>
        </w:numPr>
        <w:tabs>
          <w:tab w:val="left" w:pos="2310"/>
          <w:tab w:val="left" w:pos="4200"/>
          <w:tab w:val="left" w:pos="6090"/>
        </w:tabs>
        <w:ind w:left="0" w:firstLine="0" w:leftChars="0" w:firstLineChars="0"/>
        <w:textAlignment w:val="center"/>
        <w:rPr>
          <w:rFonts w:ascii="宋体" w:cs="宋体" w:hint="eastAsia"/>
          <w:szCs w:val="21"/>
        </w:rPr>
      </w:pPr>
      <w:r>
        <w:rPr>
          <w:rFonts w:ascii="宋体" w:cs="宋体" w:hint="eastAsia"/>
          <w:szCs w:val="21"/>
        </w:rPr>
        <w:t>论述题（本大题共</w:t>
      </w:r>
      <w:r>
        <w:rPr>
          <w:rFonts w:ascii="宋体" w:cs="宋体" w:hint="eastAsia"/>
          <w:szCs w:val="21"/>
          <w:lang w:val="en-US" w:eastAsia="zh-CN"/>
        </w:rPr>
        <w:t>4</w:t>
      </w:r>
      <w:r>
        <w:rPr>
          <w:rFonts w:ascii="宋体" w:cs="宋体" w:hint="eastAsia"/>
          <w:szCs w:val="21"/>
        </w:rPr>
        <w:t>题</w:t>
      </w:r>
      <w:r>
        <w:rPr>
          <w:rFonts w:ascii="宋体" w:cs="宋体" w:hint="eastAsia"/>
          <w:szCs w:val="21"/>
          <w:lang w:val="en-US" w:eastAsia="zh-CN"/>
        </w:rPr>
        <w:t>,共40分</w:t>
      </w:r>
      <w:r>
        <w:rPr>
          <w:rFonts w:ascii="宋体" w:cs="宋体" w:hint="eastAsia"/>
          <w:szCs w:val="21"/>
        </w:rPr>
        <w:t>）</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r>
        <w:rPr>
          <w:rFonts w:ascii="宋体" w:eastAsia="宋体" w:hAnsi="宋体" w:cs="宋体" w:hint="eastAsia"/>
          <w:b w:val="0"/>
          <w:i w:val="0"/>
          <w:caps w:val="0"/>
          <w:color w:val="auto"/>
          <w:spacing w:val="-2"/>
          <w:sz w:val="21"/>
          <w:szCs w:val="18"/>
          <w:shd w:val="clear" w:color="auto" w:fill="FFFFFF"/>
          <w:lang w:val="en-US" w:eastAsia="zh-CN"/>
        </w:rPr>
        <w:t>31.目前全国实施阶梯电价方案。阶梯电价共分三档,第一档为基础电量,价格不变,第二档每度涨5分,第三档每度涨3毛。其具体内容包括:第一阶梯为基数电量,此阶梯内电量较少,电价较低;第二阶梯电量较高,电价较高一些;第三阶梯电量更多,电价更高。这不仅让市民更加合理用电,更提升了对节能家电的关注度,刺激了销量,同时也加速了市民家里“电老虎”的淘汰,节能型产品将再次掀起一波销售高潮。</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r>
        <w:rPr>
          <w:rFonts w:ascii="宋体" w:eastAsia="宋体" w:hAnsi="宋体" w:cs="宋体" w:hint="eastAsia"/>
          <w:b w:val="0"/>
          <w:i w:val="0"/>
          <w:caps w:val="0"/>
          <w:color w:val="auto"/>
          <w:spacing w:val="-2"/>
          <w:sz w:val="21"/>
          <w:szCs w:val="18"/>
          <w:shd w:val="clear" w:color="auto" w:fill="FFFFFF"/>
          <w:lang w:val="en-US" w:eastAsia="zh-CN"/>
        </w:rPr>
        <w:t>结合材料,分析实行阶梯电价可能对居民生活、生产的影响。（10分）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bookmarkStart w:id="20" w:name="topic_9d444092-c183-4cb0-a81d-5faf7de10c"/>
      <w:bookmarkEnd w:id="20"/>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r>
        <w:rPr>
          <w:rFonts w:ascii="宋体" w:eastAsia="宋体" w:hAnsi="宋体" w:cs="宋体" w:hint="eastAsia"/>
          <w:b w:val="0"/>
          <w:i w:val="0"/>
          <w:caps w:val="0"/>
          <w:color w:val="auto"/>
          <w:spacing w:val="-2"/>
          <w:sz w:val="21"/>
          <w:szCs w:val="18"/>
          <w:shd w:val="clear" w:color="auto" w:fill="FFFFFF"/>
          <w:lang w:val="en-US" w:eastAsia="zh-CN"/>
        </w:rPr>
        <w:t>32.阅读材料，回答问题。</w:t>
      </w:r>
      <w:r>
        <w:rPr>
          <w:rFonts w:ascii="宋体" w:eastAsia="宋体" w:hAnsi="宋体" w:cs="宋体" w:hint="eastAsia"/>
          <w:b w:val="0"/>
          <w:i w:val="0"/>
          <w:caps w:val="0"/>
          <w:color w:val="auto"/>
          <w:spacing w:val="-2"/>
          <w:sz w:val="21"/>
          <w:szCs w:val="18"/>
          <w:shd w:val="clear" w:color="auto" w:fill="FFFFFF"/>
          <w:lang w:val="en-US" w:eastAsia="zh-CN"/>
        </w:rPr>
        <w:br/>
      </w:r>
      <w:r>
        <w:rPr>
          <w:rFonts w:ascii="宋体" w:eastAsia="宋体" w:hAnsi="宋体" w:cs="宋体" w:hint="eastAsia"/>
          <w:b w:val="0"/>
          <w:i w:val="0"/>
          <w:caps w:val="0"/>
          <w:color w:val="auto"/>
          <w:spacing w:val="-2"/>
          <w:sz w:val="21"/>
          <w:szCs w:val="18"/>
          <w:shd w:val="clear" w:color="auto" w:fill="FFFFFF"/>
          <w:lang w:val="en-US" w:eastAsia="zh-CN"/>
        </w:rPr>
        <w:t>新飞成立于1984年，1996年跻身全国冰箱品牌前三，与容声、美菱、海尔并列“四朵金花”，但在2017年10月30日，河南新飞有限公司向河南新乡中级人民法院递交重整申请，一袋冰箱巨头倒下，新飞冰箱宣布停产！究其原因值得深思。新飞引进了新加坡丰隆集团进行合资股权转让，丰隆的股权占了90%，中方的战略经营管理权丧失；在不具备小家电技术、工艺和人才的前提下，盲目跟随进入小家电行业，质量安全事故频发，透支品牌诚信；新飞集团频繁的换高管，研发投入不足，产品升级的速度明显慢于竞争对手；同时，丰隆集团与新飞员工之间的隔阂，使得新飞高管团队和技术骨干人才流失，经营管理上越来越不完善。</w:t>
      </w:r>
      <w:r>
        <w:rPr>
          <w:rFonts w:ascii="宋体" w:eastAsia="宋体" w:hAnsi="宋体" w:cs="宋体" w:hint="eastAsia"/>
          <w:b w:val="0"/>
          <w:i w:val="0"/>
          <w:caps w:val="0"/>
          <w:color w:val="auto"/>
          <w:spacing w:val="-2"/>
          <w:sz w:val="21"/>
          <w:szCs w:val="18"/>
          <w:shd w:val="clear" w:color="auto" w:fill="FFFFFF"/>
          <w:lang w:val="en-US" w:eastAsia="zh-CN"/>
        </w:rPr>
        <w:br/>
      </w:r>
      <w:r>
        <w:rPr>
          <w:rFonts w:ascii="宋体" w:eastAsia="宋体" w:hAnsi="宋体" w:cs="宋体" w:hint="eastAsia"/>
          <w:b w:val="0"/>
          <w:i w:val="0"/>
          <w:caps w:val="0"/>
          <w:color w:val="auto"/>
          <w:spacing w:val="-2"/>
          <w:sz w:val="21"/>
          <w:szCs w:val="18"/>
          <w:shd w:val="clear" w:color="auto" w:fill="FFFFFF"/>
          <w:lang w:val="en-US" w:eastAsia="zh-CN"/>
        </w:rPr>
        <w:t>结合上述材料，运用经济生活的有关知识，说明新飞集团的倒闭对企业经营和发展的启示。（10分）</w:t>
      </w:r>
      <w:r>
        <w:rPr>
          <w:rFonts w:ascii="宋体" w:eastAsia="宋体" w:hAnsi="宋体" w:cs="宋体" w:hint="eastAsia"/>
          <w:b w:val="0"/>
          <w:i w:val="0"/>
          <w:caps w:val="0"/>
          <w:color w:val="auto"/>
          <w:spacing w:val="-2"/>
          <w:sz w:val="21"/>
          <w:szCs w:val="18"/>
          <w:shd w:val="clear" w:color="auto" w:fill="FFFFFF"/>
          <w:lang w:val="en-US" w:eastAsia="zh-CN"/>
        </w:rPr>
        <w:br/>
      </w:r>
      <w:r>
        <w:rPr>
          <w:rFonts w:ascii="宋体" w:eastAsia="宋体" w:hAnsi="宋体" w:cs="宋体" w:hint="eastAsia"/>
          <w:b w:val="0"/>
          <w:i w:val="0"/>
          <w:caps w:val="0"/>
          <w:color w:val="auto"/>
          <w:spacing w:val="-2"/>
          <w:sz w:val="21"/>
          <w:szCs w:val="18"/>
          <w:shd w:val="clear" w:color="auto" w:fill="FFFFFF"/>
          <w:lang w:val="en-US" w:eastAsia="zh-CN"/>
        </w:rPr>
        <w:br/>
      </w:r>
    </w:p>
    <w:p>
      <w:pPr>
        <w:numPr>
          <w:ilvl w:val="0"/>
          <w:numId w:val="0"/>
        </w:numPr>
        <w:textAlignment w:val="center"/>
        <w:rPr>
          <w:rFonts w:ascii="宋体"/>
          <w:szCs w:val="21"/>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auto"/>
          <w:spacing w:val="-2"/>
          <w:sz w:val="21"/>
          <w:szCs w:val="18"/>
          <w:shd w:val="clear" w:color="auto" w:fill="FFFFFF"/>
          <w:lang w:val="en-US" w:eastAsia="zh-CN"/>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r>
        <w:rPr>
          <w:rFonts w:ascii="宋体" w:eastAsia="宋体" w:hAnsi="宋体" w:cs="宋体" w:hint="eastAsia"/>
          <w:b w:val="0"/>
          <w:i w:val="0"/>
          <w:caps w:val="0"/>
          <w:color w:val="auto"/>
          <w:spacing w:val="-2"/>
          <w:sz w:val="21"/>
          <w:szCs w:val="18"/>
          <w:shd w:val="clear" w:color="auto" w:fill="FFFFFF"/>
          <w:lang w:val="en-US" w:eastAsia="zh-CN"/>
        </w:rPr>
        <w:t>3</w:t>
      </w:r>
      <w:r>
        <w:rPr>
          <w:rFonts w:ascii="宋体" w:cs="宋体" w:hint="eastAsia"/>
          <w:b w:val="0"/>
          <w:i w:val="0"/>
          <w:caps w:val="0"/>
          <w:color w:val="auto"/>
          <w:spacing w:val="-2"/>
          <w:sz w:val="21"/>
          <w:szCs w:val="18"/>
          <w:shd w:val="clear" w:color="auto" w:fill="FFFFFF"/>
          <w:lang w:val="en-US" w:eastAsia="zh-CN"/>
        </w:rPr>
        <w:t>3</w:t>
      </w:r>
      <w:r>
        <w:rPr>
          <w:rFonts w:ascii="宋体" w:eastAsia="宋体" w:hAnsi="宋体" w:cs="宋体" w:hint="eastAsia"/>
          <w:b w:val="0"/>
          <w:i w:val="0"/>
          <w:caps w:val="0"/>
          <w:color w:val="FF0000"/>
          <w:spacing w:val="-2"/>
          <w:sz w:val="21"/>
          <w:szCs w:val="18"/>
          <w:shd w:val="clear" w:color="auto" w:fill="FFFFFF"/>
        </w:rPr>
        <w:t>.</w:t>
      </w:r>
      <w:r>
        <w:rPr>
          <w:rFonts w:ascii="宋体" w:eastAsia="宋体" w:hAnsi="宋体" w:cs="宋体" w:hint="eastAsia"/>
          <w:b w:val="0"/>
          <w:i w:val="0"/>
          <w:caps w:val="0"/>
          <w:color w:val="333333"/>
          <w:spacing w:val="-2"/>
          <w:sz w:val="21"/>
          <w:szCs w:val="18"/>
          <w:shd w:val="clear" w:color="auto" w:fill="FFFFFF"/>
        </w:rPr>
        <w:t>中央经济工作会议把推动高质量发展作为2018年和今后一个时期确定发展思路、制定经济政策、实施宏观调控的根本要求。会议提出，中国特色社会主义进入了新时代，我国经济发展也进入了新时代，基本特征就是我国经济已由高速增长阶段转向高质量发展阶段。</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r>
        <w:rPr>
          <w:rFonts w:ascii="宋体" w:eastAsia="宋体" w:hAnsi="宋体" w:cs="宋体" w:hint="eastAsia"/>
          <w:b w:val="0"/>
          <w:i w:val="0"/>
          <w:caps w:val="0"/>
          <w:color w:val="333333"/>
          <w:spacing w:val="-2"/>
          <w:sz w:val="21"/>
          <w:szCs w:val="18"/>
          <w:shd w:val="clear" w:color="auto" w:fill="FFFFFF"/>
        </w:rPr>
        <w:t>着力解决发展的不平衡不充分问题，成为中央经济工作会议关注的重点。一系列新的表述透露出“质量优先”的鲜明导向。比如，更强调“三个重要变革”——推动质量变革、效率变革、动力变革；更突出“三个重要转变”——要推进中国制造向中国创造转变，中国速度向中国质量转变，制造大国向制造强国转变。</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r>
        <w:rPr>
          <w:rFonts w:ascii="宋体" w:eastAsia="宋体" w:hAnsi="宋体" w:cs="宋体" w:hint="eastAsia"/>
          <w:b w:val="0"/>
          <w:i w:val="0"/>
          <w:caps w:val="0"/>
          <w:color w:val="333333"/>
          <w:spacing w:val="-2"/>
          <w:sz w:val="21"/>
          <w:szCs w:val="18"/>
          <w:shd w:val="clear" w:color="auto" w:fill="FFFFFF"/>
        </w:rPr>
        <w:t>运用“收入与分配”的有关知识，简要分析我国应如何促进经济的高质量发展。(</w:t>
      </w:r>
      <w:r>
        <w:rPr>
          <w:rFonts w:ascii="宋体" w:cs="宋体" w:hint="eastAsia"/>
          <w:b w:val="0"/>
          <w:i w:val="0"/>
          <w:caps w:val="0"/>
          <w:color w:val="333333"/>
          <w:spacing w:val="-2"/>
          <w:sz w:val="21"/>
          <w:szCs w:val="18"/>
          <w:shd w:val="clear" w:color="auto" w:fill="FFFFFF"/>
          <w:lang w:val="en-US" w:eastAsia="zh-CN"/>
        </w:rPr>
        <w:t>10</w:t>
      </w:r>
      <w:r>
        <w:rPr>
          <w:rFonts w:ascii="宋体" w:eastAsia="宋体" w:hAnsi="宋体" w:cs="宋体" w:hint="eastAsia"/>
          <w:b w:val="0"/>
          <w:i w:val="0"/>
          <w:caps w:val="0"/>
          <w:color w:val="333333"/>
          <w:spacing w:val="-2"/>
          <w:sz w:val="21"/>
          <w:szCs w:val="18"/>
          <w:shd w:val="clear" w:color="auto" w:fill="FFFFFF"/>
        </w:rPr>
        <w:t>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8"/>
          <w:sz w:val="21"/>
          <w:szCs w:val="21"/>
          <w:shd w:val="clear" w:color="auto" w:fill="FFFFFF"/>
        </w:rPr>
      </w:pPr>
      <w:r>
        <w:rPr>
          <w:rFonts w:ascii="宋体" w:eastAsia="宋体" w:hAnsi="宋体" w:cs="宋体" w:hint="eastAsia"/>
          <w:b w:val="0"/>
          <w:i w:val="0"/>
          <w:caps w:val="0"/>
          <w:color w:val="333333"/>
          <w:spacing w:val="8"/>
          <w:sz w:val="21"/>
          <w:szCs w:val="21"/>
          <w:shd w:val="clear" w:color="auto" w:fill="FFFFFF"/>
          <w:lang w:val="en-US" w:eastAsia="zh-CN"/>
        </w:rPr>
        <w:t>3</w:t>
      </w:r>
      <w:r>
        <w:rPr>
          <w:rFonts w:ascii="宋体" w:cs="宋体" w:hint="eastAsia"/>
          <w:b w:val="0"/>
          <w:i w:val="0"/>
          <w:caps w:val="0"/>
          <w:color w:val="333333"/>
          <w:spacing w:val="8"/>
          <w:sz w:val="21"/>
          <w:szCs w:val="21"/>
          <w:shd w:val="clear" w:color="auto" w:fill="FFFFFF"/>
          <w:lang w:val="en-US" w:eastAsia="zh-CN"/>
        </w:rPr>
        <w:t>4</w:t>
      </w:r>
      <w:r>
        <w:rPr>
          <w:rFonts w:ascii="宋体" w:eastAsia="宋体" w:hAnsi="宋体" w:cs="宋体" w:hint="eastAsia"/>
          <w:b w:val="0"/>
          <w:i w:val="0"/>
          <w:caps w:val="0"/>
          <w:color w:val="333333"/>
          <w:spacing w:val="8"/>
          <w:sz w:val="21"/>
          <w:szCs w:val="21"/>
          <w:shd w:val="clear" w:color="auto" w:fill="FFFFFF"/>
        </w:rPr>
        <w:t>.在中央扶贫开发工作会议上，习近平总书记明确指出：脱贫攻坚战的冲锋号已经吹响。我们要立下愚公移山志，咬定目标，苦干实干，坚决打赢脱贫攻坚战。</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8"/>
          <w:sz w:val="21"/>
          <w:szCs w:val="21"/>
          <w:shd w:val="clear" w:color="auto" w:fill="FFFFFF"/>
        </w:rPr>
      </w:pPr>
      <w:r>
        <w:rPr>
          <w:rFonts w:ascii="宋体" w:eastAsia="宋体" w:hAnsi="宋体" w:cs="宋体" w:hint="eastAsia"/>
          <w:b w:val="0"/>
          <w:i w:val="0"/>
          <w:caps w:val="0"/>
          <w:color w:val="333333"/>
          <w:spacing w:val="8"/>
          <w:sz w:val="21"/>
          <w:szCs w:val="21"/>
          <w:shd w:val="clear" w:color="auto" w:fill="FFFFFF"/>
        </w:rPr>
        <w:t>根据中共中央“十三五”规划建议精准扶贫和精准脱贫的要求，H市各级党委和政府勇敢承担扶贫责任，积极创新扶贫方式，运用中央和省级财政扶贫资金，对有劳动能力的支持发展特色产业和转移就业，对“一方水土养不起一方人”的实施扶贫搬迁，对丧失劳动能力的实施兜底性保障政策，从而打开了扶贫开发工作的新局面。</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8"/>
          <w:sz w:val="21"/>
          <w:szCs w:val="21"/>
          <w:shd w:val="clear" w:color="auto" w:fill="FFFFFF"/>
        </w:rPr>
      </w:pPr>
      <w:r>
        <w:rPr>
          <w:rFonts w:ascii="宋体" w:eastAsia="宋体" w:hAnsi="宋体" w:cs="宋体" w:hint="eastAsia"/>
          <w:b w:val="0"/>
          <w:i w:val="0"/>
          <w:caps w:val="0"/>
          <w:color w:val="333333"/>
          <w:spacing w:val="8"/>
          <w:sz w:val="21"/>
          <w:szCs w:val="21"/>
          <w:shd w:val="clear" w:color="auto" w:fill="FFFFFF"/>
        </w:rPr>
        <w:t>结合材料，运用财政作用的知识，分析H市扶贫工作中采取的方式所包含的经济学原理。(</w:t>
      </w:r>
      <w:r>
        <w:rPr>
          <w:rFonts w:ascii="宋体" w:cs="宋体" w:hint="eastAsia"/>
          <w:b w:val="0"/>
          <w:i w:val="0"/>
          <w:caps w:val="0"/>
          <w:color w:val="333333"/>
          <w:spacing w:val="8"/>
          <w:sz w:val="21"/>
          <w:szCs w:val="21"/>
          <w:shd w:val="clear" w:color="auto" w:fill="FFFFFF"/>
          <w:lang w:val="en-US" w:eastAsia="zh-CN"/>
        </w:rPr>
        <w:t>10</w:t>
      </w:r>
      <w:r>
        <w:rPr>
          <w:rFonts w:ascii="宋体" w:eastAsia="宋体" w:hAnsi="宋体" w:cs="宋体" w:hint="eastAsia"/>
          <w:b w:val="0"/>
          <w:i w:val="0"/>
          <w:caps w:val="0"/>
          <w:color w:val="333333"/>
          <w:spacing w:val="8"/>
          <w:sz w:val="21"/>
          <w:szCs w:val="21"/>
          <w:shd w:val="clear" w:color="auto" w:fill="FFFFFF"/>
        </w:rPr>
        <w:t>分)</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80" w:lineRule="exact"/>
        <w:ind w:left="0" w:right="0" w:firstLine="0"/>
        <w:jc w:val="both"/>
        <w:textAlignment w:val="auto"/>
        <w:rPr>
          <w:rFonts w:ascii="宋体" w:eastAsia="宋体" w:hAnsi="宋体" w:cs="宋体" w:hint="eastAsia"/>
          <w:b w:val="0"/>
          <w:i w:val="0"/>
          <w:caps w:val="0"/>
          <w:color w:val="333333"/>
          <w:spacing w:val="-2"/>
          <w:sz w:val="21"/>
          <w:szCs w:val="18"/>
          <w:shd w:val="clear" w:color="auto" w:fill="FFFFFF"/>
        </w:rPr>
      </w:pPr>
    </w:p>
    <w:p>
      <w:pPr>
        <w:textAlignment w:val="center"/>
      </w:pPr>
    </w:p>
    <w:sectPr>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998F90"/>
    <w:multiLevelType w:val="singleLevel"/>
    <w:tmpl w:val="59998F90"/>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character" w:styleId="Strong">
    <w:name w:val="Strong"/>
    <w:basedOn w:val="DefaultParagraphFont"/>
    <w:qFormat/>
    <w:rPr>
      <w:b/>
    </w:rPr>
  </w:style>
  <w:style w:type="paragraph" w:customStyle="1" w:styleId="Normal25">
    <w:name w:val="Normal_25"/>
    <w:qFormat/>
    <w:pPr>
      <w:widowControl w:val="0"/>
      <w:jc w:val="both"/>
    </w:pPr>
    <w:rPr>
      <w:rFonts w:ascii="Times New Roman" w:eastAsia="宋体" w:hAnsi="Times New Roman"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安与琪</dc:creator>
  <cp:lastModifiedBy>Administrator</cp:lastModifiedBy>
  <cp:revision>1</cp:revision>
  <dcterms:created xsi:type="dcterms:W3CDTF">2018-12-24T08:45:00Z</dcterms:created>
  <dcterms:modified xsi:type="dcterms:W3CDTF">2019-04-01T09:21:49Z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KSORubyTemplateID" linkTarget="0">
    <vt:lpwstr>6</vt:lpwstr>
  </property>
</Properties>
</file>