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Times New Roman" w:hAnsi="Times New Roman" w:eastAsia="黑体"/>
          <w:b/>
          <w:sz w:val="28"/>
          <w:szCs w:val="28"/>
        </w:rPr>
      </w:pPr>
      <w:r>
        <w:rPr>
          <w:rFonts w:hint="eastAsia" w:ascii="Times New Roman" w:hAnsi="Times New Roman" w:eastAsia="黑体"/>
          <w:b/>
          <w:sz w:val="28"/>
          <w:szCs w:val="28"/>
        </w:rPr>
        <w:t>广丰一中</w:t>
      </w:r>
      <w:r>
        <w:rPr>
          <w:rFonts w:ascii="Times New Roman" w:hAnsi="Times New Roman" w:eastAsia="黑体"/>
          <w:b/>
          <w:sz w:val="28"/>
          <w:szCs w:val="28"/>
        </w:rPr>
        <w:t>2018-2019</w:t>
      </w:r>
      <w:r>
        <w:rPr>
          <w:rFonts w:hint="eastAsia" w:ascii="Times New Roman" w:hAnsi="Times New Roman" w:eastAsia="黑体"/>
          <w:b/>
          <w:sz w:val="28"/>
          <w:szCs w:val="28"/>
        </w:rPr>
        <w:t>学年度高一</w:t>
      </w:r>
      <w:r>
        <w:rPr>
          <w:rFonts w:hint="eastAsia" w:ascii="Times New Roman" w:hAnsi="Times New Roman" w:eastAsia="黑体"/>
          <w:b/>
          <w:sz w:val="28"/>
          <w:szCs w:val="28"/>
          <w:lang w:eastAsia="zh-CN"/>
        </w:rPr>
        <w:t>下学期</w:t>
      </w:r>
      <w:r>
        <w:rPr>
          <w:rFonts w:hint="eastAsia" w:ascii="Times New Roman" w:hAnsi="Times New Roman" w:eastAsia="黑体"/>
          <w:b/>
          <w:sz w:val="28"/>
          <w:szCs w:val="28"/>
        </w:rPr>
        <w:t>政治</w:t>
      </w:r>
      <w:r>
        <w:rPr>
          <w:rFonts w:hint="eastAsia" w:eastAsia="黑体"/>
          <w:b/>
          <w:sz w:val="28"/>
          <w:szCs w:val="28"/>
          <w:lang w:eastAsia="zh-CN"/>
        </w:rPr>
        <w:t>期中考试</w:t>
      </w:r>
      <w:r>
        <w:rPr>
          <w:rFonts w:hint="eastAsia" w:ascii="Times New Roman" w:hAnsi="Times New Roman" w:eastAsia="黑体"/>
          <w:b/>
          <w:sz w:val="28"/>
          <w:szCs w:val="28"/>
        </w:rPr>
        <w:t>试卷</w:t>
      </w:r>
    </w:p>
    <w:p>
      <w:pPr>
        <w:spacing w:line="240" w:lineRule="auto"/>
        <w:jc w:val="center"/>
        <w:rPr>
          <w:rFonts w:ascii="Times New Roman" w:hAnsi="Times New Roman"/>
        </w:rPr>
      </w:pPr>
      <w:r>
        <w:rPr>
          <w:rFonts w:hint="eastAsia" w:ascii="Times New Roman" w:hAnsi="Times New Roman"/>
          <w:b/>
          <w:bCs/>
        </w:rPr>
        <w:t>考试范围：</w:t>
      </w:r>
      <w:r>
        <w:rPr>
          <w:rFonts w:hint="eastAsia"/>
          <w:lang w:eastAsia="zh-CN"/>
        </w:rPr>
        <w:t>必修</w:t>
      </w:r>
      <w:r>
        <w:rPr>
          <w:rFonts w:hint="eastAsia"/>
          <w:lang w:val="en-US" w:eastAsia="zh-CN"/>
        </w:rPr>
        <w:t>2</w:t>
      </w:r>
      <w:r>
        <w:rPr>
          <w:rFonts w:hint="eastAsia"/>
          <w:lang w:eastAsia="zh-CN"/>
        </w:rPr>
        <w:t>全册、必修</w:t>
      </w:r>
      <w:r>
        <w:rPr>
          <w:rFonts w:hint="eastAsia"/>
          <w:lang w:val="en-US" w:eastAsia="zh-CN"/>
        </w:rPr>
        <w:t>1第1单元</w:t>
      </w:r>
      <w:r>
        <w:rPr>
          <w:rFonts w:hint="eastAsia" w:ascii="Times New Roman" w:hAnsi="Times New Roman"/>
        </w:rPr>
        <w:t>；</w:t>
      </w:r>
      <w:r>
        <w:rPr>
          <w:rFonts w:hint="eastAsia" w:ascii="Times New Roman" w:hAnsi="Times New Roman"/>
          <w:b/>
          <w:bCs/>
        </w:rPr>
        <w:t>考试时间：</w:t>
      </w:r>
      <w:r>
        <w:rPr>
          <w:rFonts w:ascii="Times New Roman" w:hAnsi="Times New Roman"/>
        </w:rPr>
        <w:t>80</w:t>
      </w:r>
      <w:r>
        <w:rPr>
          <w:rFonts w:hint="eastAsia" w:ascii="Times New Roman" w:hAnsi="Times New Roman"/>
        </w:rPr>
        <w:t>分钟；</w:t>
      </w:r>
      <w:r>
        <w:rPr>
          <w:rFonts w:hint="eastAsia" w:ascii="Times New Roman" w:hAnsi="Times New Roman"/>
          <w:b/>
          <w:bCs/>
        </w:rPr>
        <w:t>命题人：</w:t>
      </w:r>
      <w:r>
        <w:rPr>
          <w:rFonts w:hint="eastAsia" w:ascii="Times New Roman" w:hAnsi="Times New Roman"/>
        </w:rPr>
        <w:t>徐源</w:t>
      </w:r>
    </w:p>
    <w:p>
      <w:pPr>
        <w:numPr>
          <w:ilvl w:val="0"/>
          <w:numId w:val="1"/>
        </w:numPr>
        <w:spacing w:line="240" w:lineRule="auto"/>
        <w:jc w:val="left"/>
        <w:textAlignment w:val="center"/>
        <w:rPr>
          <w:rFonts w:hint="eastAsia" w:ascii="Times New Roman" w:hAnsi="Times New Roman"/>
          <w:b/>
          <w:szCs w:val="21"/>
        </w:rPr>
      </w:pPr>
      <w:r>
        <w:rPr>
          <w:rFonts w:hint="eastAsia" w:ascii="Times New Roman" w:hAnsi="Times New Roman"/>
          <w:b/>
          <w:szCs w:val="21"/>
        </w:rPr>
        <w:t>单选题（每小题</w:t>
      </w:r>
      <w:r>
        <w:rPr>
          <w:rFonts w:ascii="Times New Roman" w:hAnsi="Times New Roman"/>
          <w:b/>
          <w:szCs w:val="21"/>
        </w:rPr>
        <w:t>3</w:t>
      </w:r>
      <w:r>
        <w:rPr>
          <w:rFonts w:hint="eastAsia" w:ascii="Times New Roman" w:hAnsi="Times New Roman"/>
          <w:b/>
          <w:szCs w:val="21"/>
        </w:rPr>
        <w:t>分，</w:t>
      </w:r>
      <w:r>
        <w:rPr>
          <w:rFonts w:hint="eastAsia" w:ascii="Times New Roman" w:hAnsi="Times New Roman"/>
          <w:b/>
        </w:rPr>
        <w:t>共</w:t>
      </w:r>
      <w:r>
        <w:rPr>
          <w:rFonts w:ascii="Times New Roman" w:hAnsi="Times New Roman"/>
          <w:b/>
        </w:rPr>
        <w:t>75</w:t>
      </w:r>
      <w:r>
        <w:rPr>
          <w:rFonts w:hint="eastAsia" w:ascii="Times New Roman" w:hAnsi="Times New Roman"/>
          <w:b/>
        </w:rPr>
        <w:t>分</w:t>
      </w:r>
      <w:r>
        <w:rPr>
          <w:rFonts w:hint="eastAsia" w:ascii="Times New Roman" w:hAnsi="Times New Roman"/>
          <w:b/>
          <w:szCs w:val="21"/>
        </w:rPr>
        <w:t>）</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在2018年中非合作论坛北京峰会上，国家主席习近平表示：中国愿以政府援助、金融机构和企业投融资等方式，向非洲提供600亿美元支持。同时，免除与中国有外交关系的非洲最不发达国家、重债穷国、内陆发展中国家、小岛屿发展中国家截至2018年底到期未偿还的政府间无息贷款债务。这体现了</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①中国是促进世界经济发展的重要力量②中国寻求与非洲建立互信互利的同盟关系</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③中国在国际事务中发挥着负责任大国的作用④中国与非洲各国在根本利益上是一致的</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2018年8月28日，十三届全国人大常委会第五次会议举行第二次全体会议,受国务院委托.国家发改委报告了今年以来国民经济和社会发展计划执行情况；财政部报告了今年以来预算执行情况；教育部报告了发展提高农村义务教育水平工作情况。材料表明</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①全国人大常委会通过民主集中制决定国家重大事务②人大统一行使国家权力监督其他国家机关的工作</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③我国的政体是实行民主集中制的人民代表大会制度④国务院协助全国人大常委会推动经济社会和谐发展</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A．①③    B．①④    C．②③    D．②④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3．近年来，受进口大豆价格冲击，我国大豆生产下滑严重。而今，应对中美贸易争端可能出现的情况，我国研究宣布在东北及内蒙古大豆主产区提高大豆生产者补贴，扩大大豆种植面积。这说明：</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①价格变动会影响生产规模②国内外大豆存在互补关系③分配对生产有着重要影响④提高财政补贴违背价值规律</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B．②③    C．①④    D．①③</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4．习近平总书记在年初召开的十九届中央纪委三次全会上指出：“取得全面从严治党更大战略性成果，巩固发展反腐败斗争压倒性胜利。”新时代全面从严治党必须：</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①同一切腐败现象作斗争，确保党永葆清正廉洁的政治本色</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②坚持党纪高于国法，党员干部要以更高标准严格要求自己</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③坚持思想建党和制度治党相统一，切实增强从严治党实效</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④继承和发扬党的优良传统，提高党依法行政的能力和水平</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C．①④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D．②④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5．《人民日报》载文指出，要推动公共文化服务标准化均等化，坚持政府主导，社会参与，重心下移，共建共享，完善公共文化服务体系，提高基本公共文化服务的覆盖面和适用性。这意味着</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①政府推动社会生产力的发展，努力实现人民对美好生活的向往</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②政府成为文化产品和公共文化服务的提供者和引导者</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③政府的公共文化服务，要把社会效益放在首位</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④政府要将文化体制改革引向深入，不断激发文化创新创造活力</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B．①④    C．②③    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6．为规范商品和服务价格指数行为，促进市场公平竞争、健康有序发展，国家发改委就《价格指数行为管理办法（征求意见稿）》向社会公开征求意见。公众可通过登录中国政府法制信息网或者国家发改委门户网站提出反馈意见。这从一个侧面表明公民可以</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①行使决策权，就规范商品和服务价格指数行为提出建议②行使表达权，为促进市场健康有序发展提出意见</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③信息是决策的基础，民意是正确决策的重要信息资源④通过重大事项社会公示制度，行使监督权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B．①④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7．甲企业占有某国M商品市场份额的三分之一以上，甲企业引进先进技术设备,产能增加了20%。其他条件不变,下列能正确反映M商品市场的变动对该商品价格可能产生的影响的是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drawing>
          <wp:inline distT="0" distB="0" distL="114300" distR="114300">
            <wp:extent cx="1437640" cy="1323340"/>
            <wp:effectExtent l="0" t="0" r="10160" b="1016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7"/>
                    <a:stretch>
                      <a:fillRect/>
                    </a:stretch>
                  </pic:blipFill>
                  <pic:spPr>
                    <a:xfrm>
                      <a:off x="0" y="0"/>
                      <a:ext cx="1437640" cy="1323340"/>
                    </a:xfrm>
                    <a:prstGeom prst="rect">
                      <a:avLst/>
                    </a:prstGeom>
                  </pic:spPr>
                </pic:pic>
              </a:graphicData>
            </a:graphic>
          </wp:inline>
        </w:drawing>
      </w:r>
      <w:r>
        <w:rPr>
          <w:rFonts w:hint="eastAsia" w:ascii="Times New Roman" w:hAnsi="Times New Roman" w:eastAsia="宋体" w:cs="Times New Roman"/>
          <w:lang w:val="en-US" w:eastAsia="zh-CN" w:bidi="ar-SA"/>
        </w:rPr>
        <w:drawing>
          <wp:inline distT="0" distB="0" distL="114300" distR="114300">
            <wp:extent cx="1543050" cy="1333500"/>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8"/>
                    <a:stretch>
                      <a:fillRect/>
                    </a:stretch>
                  </pic:blipFill>
                  <pic:spPr>
                    <a:xfrm>
                      <a:off x="0" y="0"/>
                      <a:ext cx="1543050" cy="1333500"/>
                    </a:xfrm>
                    <a:prstGeom prst="rect">
                      <a:avLst/>
                    </a:prstGeom>
                  </pic:spPr>
                </pic:pic>
              </a:graphicData>
            </a:graphic>
          </wp:inline>
        </w:drawing>
      </w:r>
      <w:r>
        <w:rPr>
          <w:rFonts w:hint="eastAsia" w:ascii="Times New Roman" w:hAnsi="Times New Roman" w:eastAsia="宋体" w:cs="Times New Roman"/>
          <w:lang w:val="en-US" w:eastAsia="zh-CN" w:bidi="ar-SA"/>
        </w:rPr>
        <w:drawing>
          <wp:inline distT="0" distB="0" distL="114300" distR="114300">
            <wp:extent cx="1590675" cy="1323340"/>
            <wp:effectExtent l="0" t="0" r="9525" b="1016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9"/>
                    <a:stretch>
                      <a:fillRect/>
                    </a:stretch>
                  </pic:blipFill>
                  <pic:spPr>
                    <a:xfrm>
                      <a:off x="0" y="0"/>
                      <a:ext cx="1590675" cy="1323340"/>
                    </a:xfrm>
                    <a:prstGeom prst="rect">
                      <a:avLst/>
                    </a:prstGeom>
                  </pic:spPr>
                </pic:pic>
              </a:graphicData>
            </a:graphic>
          </wp:inline>
        </w:drawing>
      </w:r>
      <w:r>
        <w:rPr>
          <w:rFonts w:hint="eastAsia" w:ascii="Times New Roman" w:hAnsi="Times New Roman" w:eastAsia="宋体" w:cs="Times New Roman"/>
          <w:lang w:val="en-US" w:eastAsia="zh-CN" w:bidi="ar-SA"/>
        </w:rPr>
        <w:drawing>
          <wp:inline distT="0" distB="0" distL="114300" distR="114300">
            <wp:extent cx="1504315" cy="1323340"/>
            <wp:effectExtent l="0" t="0" r="635" b="10160"/>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0"/>
                    <a:stretch>
                      <a:fillRect/>
                    </a:stretch>
                  </pic:blipFill>
                  <pic:spPr>
                    <a:xfrm>
                      <a:off x="0" y="0"/>
                      <a:ext cx="1504315" cy="1323340"/>
                    </a:xfrm>
                    <a:prstGeom prst="rect">
                      <a:avLst/>
                    </a:prstGeom>
                  </pic:spPr>
                </pic:pic>
              </a:graphicData>
            </a:graphic>
          </wp:inline>
        </w:drawing>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8．2018年底，国家医疗保障局主导了“4+7”城市药品集中采购，药品集中采购过程中通过招投标或谈判议价，明确采购数量，让医药企业针对具体的药品数量报价，此次集中采购的25个拟中选药品价格平均降幅达52%，能让人民群众以比较低廉的价格用上质量更好的药品。国家医疗保障局主导药品集中采购，旨在</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①切实减轻患者的用药负担②加强社会建设，改善社会民生</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③创新工作方法，保障人民的民主权利④参与药品市场竞争，确保药品价格稳定</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9．70年风雨同舟，70年见证辉煌。人民政协凝聚社会各个阶层、各个团体、各个行业的力量，在国家发展过程中积极履职，体现了中华民族和衷共济的精神。下列体现人民政协职能的是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①政协委员就垃圾秸秆焚烧综合发电以及环保产业发展问题建言献策</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②政协委员对养老服务等专题进行深入调研，针对存在的不足督促改进</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③2019年两会期间政协委员听取并讨论政府工作报告及外商投资法草案</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④区政协认真学习习近平关于加强和改进人民政协工作的重要思想理论</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B．①②④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C．②③④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D．①③④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10．某市居民的恩格尔系数在2014年、2016年和2018年分别为40.5%、38.2%、36.1%。产生这一变化的原因可能是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①食品支出总额减少②经济持续健康发展，居民收人稳步增长</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③就业充分，社会保障水平逐步提高④食品支出占家庭消费总支出的比重下降</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B．②③    C．②④    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11．为引导金融机构加大对小微企业的支持力度，中国人民银行决定，从2018年4月25日起，下调大型商业银行、股份制商业银行、城市商业银行、非县域农村商业银行、外资银行人民币存款准备金率1个百分点。下列能正确描述该政策对经济影响机制的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A．货币供应量减少→利率降低→投资减少→总需求减少</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B．货币供应量增加→利率上升→投资减少→总供给减少</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C．货币供应量增加→利率降低→投资增加→总需求增加</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D．货币供应量减少→利率降低→投资增加→总供给增加</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12．智库即智囊集团，又称头脑企业、智慧团或思想库等。是指专门从事开发性研究的咨询研究机构。它将各学科的专家学者聚焦起来，运用他们的智慧和才能，为社会经济等领域的发展提供满意方案或优化方案等思想产品，并收取一定费用。据此，以下说法正确的有</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①思想产品属于商品，因为它是用于交换的劳动产品②思想产品不是商品，因为它是“无形”的服务</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③为社会经济等领域提供服务，是智库工作的目的④智库有利于促进我国自主创新，政府应重视其发展</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B．①④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13．2019年2月22日，某市人大常委会印发2019年工作要点，指出坚持监督与支持有机统一，综合运用专题询问、满意度测评等刚性监督手段，着力提升监督实效，确保常委会决议决定、代表意见建议得到有效落实和解决。该市学习“杭州都市圈”有关市人大做法，研究制定《关于加强政府投资项目监督的办法》。这表明:</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①民主集中制是我国政体的组织和活动原则②人大常委会行使监督权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③人大常委会作为法律监督机关行使立法权④人大常委会行使质询权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14．中央经济工作会议是中共中央、国务院召开的规格最高的经济会议。它的任务是总结当年的经济工作成绩，分析研判当前国内国际经济形势，制定来年宏观经济发展规划。中央经济工作会议</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①反映了党对政府工作的领导和内部监督②彰显了中国共产党统领全局的核心作用</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③体现了政府在经济建设中负有重要职能④发挥了国务院对国家重大事项的决定权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B．①④    C．②③    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15．随着经济的发展，人们对信用卡的依赖程度和要求也越来越大。目前，各商业银行正在对本银行的信用卡进行更换，使用加芯的信用卡，旨在提高其安全性，满足人们的需要。加芯的信用卡</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①是商业银行对资信状况良好的客户发行的一种信用凭证②持卡人可以在发卡银行指定的消费场所内消费</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③持卡人可以在指定的营业机构存取现金或转账④解决了信用卡安全问题，给持卡人带来诸多便利</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A．①②④    B．②③④    C．①②③    D．①③④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16．2018年11月30日，在G20峰会上，习近平主席发表题为《登高望远，牢牢把握世界经济正确方向》的重要讲话，强调二十国集团要坚持开放合作、伙伴精神、创新引领、普惠共赢，以负责任态度把握世界经济大方向。习主席的发言</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①顺应了世界各国政府维护和平，实现发展的共同心声②表明了我国是维护世界和平与稳定的积极因素和决定力量③符合当今时代和平与发展的主题④反映了爱好和平、向往发展的国家和人民的共同要求</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17．2018年7月6日，受美国对价值340亿美元的中国商品加征25%额外关税和美联储加息等诸多因素的影响，离岸人民币兑美元汇率中间价创下逾五个月来的新低。业内人士表示，人民币持续走弱，主要原因还是美元走强。市场对人民币面临的贬值压力依然存在担忧,这是因为</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①进口原材料价格相对提高,相关企业压力加大②资本大量外流,影响国内经济的健康运行</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③出口企业的竞争力变弱，不利于扩大出口④人民币的国际购买力降低,对外投资可能减少</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A．①③    B．②③    C．①④    D．②④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18．近一段时期以来，全国多个地区发生重特大安全生产事故，造成极大的人员伤亡和财产损失。习近平总书记强调，要结合“三严三实”专题教育活动，坚决落实安全生产责任制，切实做到党政同责、一岗双责、失职追责。对“党政同责”正确的理解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在党的领导下，政府切实履行保护公民生命安全及合法权益的职能②党和政府都是国家权力机关，都对安全生产负有责任③党和政府都要负起确保安全生产、维护社会稳定的行政责任④确保安全生产、保障人民群众安居乐业是各级党委和政府必须承担的责任</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C．①④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19．民主选举县有“自下而上”和“公平投票”的性质，必须同时满足这两个性质，才能算是民主选举。民主选举的规范形式是差额选举让选民“货比三家”。由此可知</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①民主选举是国家性质保持不变的决定因素②民主选举的本质是人民将国家权力授予当选者</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③差额选举能促使候选人竞争，让选民择优选择④民众投票选举“当家人”是政治文明进步的表现</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B．①④    C．②③    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20．从“东奔西走取现金”到“一张卡片走天下”,从“便捷的网上快捷支付”到“轻松的二维码付款”,不经意间，支付创新正在改变着我们的生活方式和消费习惯。如今，银行卡取代现金，成了很多人钱包里的主角，手机亦成为财富的新“管家”。支付创新</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①丰富了货币的职能，使“商品——货币”的跳跃更为迅速②改变了支付方式，推动了网络消费的市场发展</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③减少了支付环节，降低了商品价格④简化了收款手续，促进经济社会运行效率的提升</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21．2018年7月15日下午，国家药品监督管理局通报对长春长生生物科技有限责任公司生产现场进行检查发现，该公司在冻干人用狂犬疫苗生产过程中存在记录造假。中共中央政治局就长生生物疫苗案件作出重要指示，对那些利欲熏心、无视规则的不法企业，对那些敢于挑战道德和良知底线的人，要严厉打击，从严重判，绝不姑息。这体现了</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①要坚决守住安全底线，全力保障群众切身利益②党不断扩大职能范围，推进依法治国进程</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③政府以人为本执政为民，行使经济建设职能④党把人民利益放首位，领导打击违法行为</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B．①④    C．②③    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22．企业利润是指生产总值和生产成本的差额（企业利润=生产总值-生产成本），而企业经济效益是生产总值和生产成本之间的比例关系（经济效益=生产总值／生产成本）。假如某企业在今年的投资规模与去年一样，劳动生产率提高一倍，在其他条件不变的情况下，对今年该企业的相关判断如下表所示。其中正确的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drawing>
          <wp:inline distT="0" distB="0" distL="114300" distR="114300">
            <wp:extent cx="4144010" cy="860425"/>
            <wp:effectExtent l="0" t="0" r="8890" b="15875"/>
            <wp:docPr id="621438736" name="图片 621438736"/>
            <wp:cNvGraphicFramePr/>
            <a:graphic xmlns:a="http://schemas.openxmlformats.org/drawingml/2006/main">
              <a:graphicData uri="http://schemas.openxmlformats.org/drawingml/2006/picture">
                <pic:pic xmlns:pic="http://schemas.openxmlformats.org/drawingml/2006/picture">
                  <pic:nvPicPr>
                    <pic:cNvPr id="621438736" name="图片 621438736"/>
                    <pic:cNvPicPr/>
                  </pic:nvPicPr>
                  <pic:blipFill>
                    <a:blip r:embed="rId11"/>
                    <a:stretch>
                      <a:fillRect/>
                    </a:stretch>
                  </pic:blipFill>
                  <pic:spPr>
                    <a:xfrm>
                      <a:off x="0" y="0"/>
                      <a:ext cx="4144010" cy="860425"/>
                    </a:xfrm>
                    <a:prstGeom prst="rect">
                      <a:avLst/>
                    </a:prstGeom>
                  </pic:spPr>
                </pic:pic>
              </a:graphicData>
            </a:graphic>
          </wp:inline>
        </w:drawing>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23．下列对政府权力具有外部监督职能的国家机关有</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①各级人代会及其常委会②人民检察院和人民法院③中国共产党和人民政协④社会力量与全体公民</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B．①③</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C．②④</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D．③④</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24．2017年，某商品单位价值量为240元，某企业产量为1万件，假设2018年全行业劳动生产率提高了20%，该企业产品的价值总量是280万，则该企业2018年劳动生产率</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A．提高40%</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B．降低20%</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C．提高12%</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D．没有变化</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25．双周协商座谈会,由全国政协主席亲自主持,每两周举行一次,党内外“内行人”就一主题讨论交锋,并将记录递交决策者,直达最高决策层。2013年10月22日至2017年9月21日,十二届全国政协先后举行了74次双周协商座谈会,涉及经济、政治、文化、社会和生态等各方面的内容。双周协商座谈会</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①能够发挥人民政协的优势,推进党和政府决策的科学化民主化</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②说明人民政协是爱国统一战线组织,是各民主党派的战略联盟</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③能够激发党内党外人士参政议政积极性,共同行使国家决策权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④是社会主义协商民主的重要形式,体现了人民民主专政的本质</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A．①②    B．①④    C．②③    D．③④</w:t>
      </w:r>
    </w:p>
    <w:p>
      <w:pPr>
        <w:spacing w:line="240" w:lineRule="auto"/>
        <w:rPr>
          <w:rFonts w:hint="eastAsia" w:ascii="Times New Roman" w:hAnsi="Times New Roman" w:eastAsia="宋体" w:cs="Times New Roman"/>
          <w:lang w:val="en-US" w:eastAsia="zh-CN" w:bidi="ar-SA"/>
        </w:rPr>
      </w:pPr>
      <w:r>
        <w:rPr>
          <w:rFonts w:hint="eastAsia" w:ascii="Times New Roman" w:hAnsi="Times New Roman"/>
          <w:b/>
        </w:rPr>
        <w:t>二、非选择题（共</w:t>
      </w:r>
      <w:r>
        <w:rPr>
          <w:rFonts w:ascii="Times New Roman" w:hAnsi="Times New Roman"/>
          <w:b/>
        </w:rPr>
        <w:t>25</w:t>
      </w:r>
      <w:r>
        <w:rPr>
          <w:rFonts w:hint="eastAsia" w:ascii="Times New Roman" w:hAnsi="Times New Roman"/>
          <w:b/>
        </w:rPr>
        <w:t>分）</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26．阅读材料，完成下列要求。</w:t>
      </w:r>
    </w:p>
    <w:p>
      <w:pPr>
        <w:adjustRightInd w:val="0"/>
        <w:snapToGrid w:val="0"/>
        <w:spacing w:line="240" w:lineRule="auto"/>
        <w:ind w:firstLine="420" w:firstLineChars="20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2018年12月12日，全国人大常委会副委员长王晨在江苏调研时强调，随着中国特色社会主义进入新时代，地方立法大有可为。要坚持以习近平新时代中国特色社会主义思想为指导，始终把党的领导贯彻到地方立法工作全过程。要深入推进科学立法、民主立法、依法立法，坚持问题导向，提高立法质量，结合实际制定更多有效管用、人民群众期待和满意的法规。要重视法律法规的实施和监督，坚持有法可依、有法必依、执法必严、违法必究。要重视普法工作，增强法治观念，提升法治意识，在全社会营造全面依法治国的良好氛围。</w:t>
      </w:r>
    </w:p>
    <w:p>
      <w:pPr>
        <w:adjustRightInd w:val="0"/>
        <w:snapToGrid w:val="0"/>
        <w:spacing w:line="240" w:lineRule="auto"/>
        <w:ind w:firstLine="422" w:firstLineChars="200"/>
        <w:rPr>
          <w:rFonts w:hint="eastAsia" w:ascii="Times New Roman" w:hAnsi="Times New Roman" w:eastAsia="宋体" w:cs="Times New Roman"/>
          <w:u w:val="none"/>
          <w:lang w:val="en-US" w:eastAsia="zh-CN" w:bidi="ar-SA"/>
        </w:rPr>
      </w:pPr>
      <w:r>
        <w:rPr>
          <w:rFonts w:hint="eastAsia" w:ascii="Times New Roman" w:hAnsi="Times New Roman" w:eastAsia="宋体" w:cs="Times New Roman"/>
          <w:b/>
          <w:bCs/>
          <w:u w:val="single"/>
          <w:lang w:val="en-US" w:eastAsia="zh-CN" w:bidi="ar-SA"/>
        </w:rPr>
        <w:t>结合材料，运用“发展社会主义民主政治”的知识，说明新时代地方立法应该如何大有可为。</w:t>
      </w:r>
      <w:r>
        <w:rPr>
          <w:rFonts w:hint="eastAsia" w:cs="Times New Roman"/>
          <w:b/>
          <w:bCs/>
          <w:u w:val="none"/>
          <w:lang w:val="en-US" w:eastAsia="zh-CN" w:bidi="ar-SA"/>
        </w:rPr>
        <w:t>（15分）</w:t>
      </w:r>
    </w:p>
    <w:p>
      <w:pPr>
        <w:adjustRightInd w:val="0"/>
        <w:snapToGrid w:val="0"/>
        <w:spacing w:line="240" w:lineRule="auto"/>
        <w:rPr>
          <w:rFonts w:hint="eastAsia" w:ascii="Times New Roman" w:hAnsi="Times New Roman" w:eastAsia="宋体" w:cs="Times New Roman"/>
          <w:lang w:val="en-US" w:eastAsia="zh-CN" w:bidi="ar-SA"/>
        </w:rPr>
      </w:pP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27．看电影成为“新年俗”。某校高一（2）班学生小李，在今年春节期间收集了我国电影市场的一些信息：</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☆2月4日除夕至2月10日大年初六的2019年春节档综合票房超过58.4亿元，同比增长1.4%，创同期历史新高。</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☆观影人次从1.44亿滑落至1.31亿，同比下降10.3%。</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☆2014年至2017年间，春节档平均票价在36.3元到39.2元之间浮动，2018年春节档的平均票价为39.71元，而到了2019年春节档，平均票价增至44.74元。</w:t>
      </w:r>
    </w:p>
    <w:p>
      <w:pPr>
        <w:adjustRightInd w:val="0"/>
        <w:snapToGrid w:val="0"/>
        <w:spacing w:line="240" w:lineRule="auto"/>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☆《流浪地球》《疯狂外星人》《飞驰人生》等春节档热门影片上映后不足3日，影片的高清盗版资源已在某二手交易平台大肆售卖，打包价格低至1元左右。</w:t>
      </w:r>
    </w:p>
    <w:p>
      <w:pPr>
        <w:adjustRightInd w:val="0"/>
        <w:snapToGrid w:val="0"/>
        <w:spacing w:line="240" w:lineRule="auto"/>
        <w:ind w:firstLine="422" w:firstLineChars="200"/>
        <w:rPr>
          <w:rFonts w:hint="eastAsia" w:ascii="Times New Roman" w:hAnsi="Times New Roman" w:eastAsia="宋体" w:cs="Times New Roman"/>
          <w:b/>
          <w:bCs/>
          <w:u w:val="none"/>
          <w:lang w:val="en-US" w:eastAsia="zh-CN" w:bidi="ar-SA"/>
        </w:rPr>
      </w:pPr>
      <w:r>
        <w:rPr>
          <w:rFonts w:hint="eastAsia" w:ascii="Times New Roman" w:hAnsi="Times New Roman" w:eastAsia="宋体" w:cs="Times New Roman"/>
          <w:b/>
          <w:bCs/>
          <w:u w:val="single"/>
          <w:lang w:val="en-US" w:eastAsia="zh-CN" w:bidi="ar-SA"/>
        </w:rPr>
        <w:t>结合材料，运用有关消费的知识，分析今年春节档电影票房变化的原因。</w:t>
      </w:r>
      <w:r>
        <w:rPr>
          <w:rFonts w:hint="eastAsia" w:cs="Times New Roman"/>
          <w:b/>
          <w:bCs/>
          <w:u w:val="none"/>
          <w:lang w:val="en-US" w:eastAsia="zh-CN" w:bidi="ar-SA"/>
        </w:rPr>
        <w:t>（10分）</w:t>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bookmarkStart w:id="0" w:name="_GoBack"/>
      <w:bookmarkEnd w:id="0"/>
    </w:p>
    <w:p>
      <w:pPr>
        <w:spacing w:line="240" w:lineRule="auto"/>
      </w:pPr>
    </w:p>
    <w:p>
      <w:pPr>
        <w:spacing w:line="240" w:lineRule="auto"/>
      </w:pPr>
    </w:p>
    <w:p>
      <w:pPr>
        <w:spacing w:line="240" w:lineRule="auto"/>
      </w:pPr>
    </w:p>
    <w:p>
      <w:pPr>
        <w:spacing w:line="240" w:lineRule="auto"/>
      </w:pPr>
    </w:p>
    <w:p>
      <w:pPr>
        <w:spacing w:line="240" w:lineRule="auto"/>
        <w:jc w:val="both"/>
        <w:rPr>
          <w:rFonts w:hint="eastAsia"/>
          <w:b/>
        </w:rPr>
      </w:pPr>
    </w:p>
    <w:sectPr>
      <w:headerReference r:id="rId3" w:type="default"/>
      <w:footerReference r:id="rId4" w:type="default"/>
      <w:footerReference r:id="rId5" w:type="even"/>
      <w:pgSz w:w="11906" w:h="16838"/>
      <w:pgMar w:top="873" w:right="794" w:bottom="873" w:left="794"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F5540"/>
    <w:multiLevelType w:val="singleLevel"/>
    <w:tmpl w:val="84CF55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EC0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2019-06-11T06:07:04Z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